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7E090" w14:textId="15AB8AEF" w:rsidR="00E75282" w:rsidRPr="00E75282" w:rsidRDefault="00E75282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 w:line="259" w:lineRule="auto"/>
        <w:rPr>
          <w:rFonts w:ascii="Calibri" w:eastAsia="Calibri" w:hAnsi="Calibri" w:cs="Calibri"/>
          <w:b/>
          <w:bdr w:val="none" w:sz="0" w:space="0" w:color="auto"/>
          <w:lang w:val="cs-CZ"/>
        </w:rPr>
      </w:pPr>
      <w:r w:rsidRPr="00E75282">
        <w:rPr>
          <w:rFonts w:ascii="Calibri" w:eastAsia="Calibri" w:hAnsi="Calibri" w:cs="Calibri"/>
          <w:b/>
          <w:bdr w:val="none" w:sz="0" w:space="0" w:color="auto"/>
          <w:lang w:val="cs-CZ"/>
        </w:rPr>
        <w:t>Tisková zpráva</w:t>
      </w:r>
      <w:r w:rsidRPr="00E75282">
        <w:rPr>
          <w:rFonts w:ascii="Calibri" w:eastAsia="Calibri" w:hAnsi="Calibri" w:cs="Calibri"/>
          <w:b/>
          <w:bdr w:val="none" w:sz="0" w:space="0" w:color="auto"/>
          <w:lang w:val="cs-CZ"/>
        </w:rPr>
        <w:tab/>
      </w:r>
      <w:r w:rsidR="001C05B9" w:rsidRPr="001C05B9">
        <w:rPr>
          <w:rFonts w:ascii="Calibri" w:eastAsia="Calibri" w:hAnsi="Calibri" w:cs="Calibri"/>
          <w:b/>
          <w:bdr w:val="none" w:sz="0" w:space="0" w:color="auto"/>
          <w:lang w:val="cs-CZ"/>
        </w:rPr>
        <w:t>12.</w:t>
      </w:r>
      <w:r w:rsidR="00C07F09" w:rsidRPr="001C05B9">
        <w:rPr>
          <w:rFonts w:ascii="Calibri" w:eastAsia="Calibri" w:hAnsi="Calibri" w:cs="Calibri"/>
          <w:b/>
          <w:bdr w:val="none" w:sz="0" w:space="0" w:color="auto"/>
          <w:lang w:val="cs-CZ"/>
        </w:rPr>
        <w:t xml:space="preserve"> </w:t>
      </w:r>
      <w:r w:rsidR="00A76AC0" w:rsidRPr="001C05B9">
        <w:rPr>
          <w:rFonts w:ascii="Calibri" w:eastAsia="Calibri" w:hAnsi="Calibri" w:cs="Calibri"/>
          <w:b/>
          <w:bdr w:val="none" w:sz="0" w:space="0" w:color="auto"/>
          <w:lang w:val="cs-CZ"/>
        </w:rPr>
        <w:t>května</w:t>
      </w:r>
      <w:r w:rsidRPr="00E75282">
        <w:rPr>
          <w:rFonts w:ascii="Calibri" w:eastAsia="Calibri" w:hAnsi="Calibri" w:cs="Calibri"/>
          <w:b/>
          <w:bdr w:val="none" w:sz="0" w:space="0" w:color="auto"/>
          <w:lang w:val="cs-CZ"/>
        </w:rPr>
        <w:t xml:space="preserve"> 20</w:t>
      </w:r>
      <w:r w:rsidR="004B4702">
        <w:rPr>
          <w:rFonts w:ascii="Calibri" w:eastAsia="Calibri" w:hAnsi="Calibri" w:cs="Calibri"/>
          <w:b/>
          <w:bdr w:val="none" w:sz="0" w:space="0" w:color="auto"/>
          <w:lang w:val="cs-CZ"/>
        </w:rPr>
        <w:t>20</w:t>
      </w:r>
    </w:p>
    <w:p w14:paraId="742ECDD9" w14:textId="77777777" w:rsidR="00E75282" w:rsidRPr="00E75282" w:rsidRDefault="00E75282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sz w:val="28"/>
          <w:szCs w:val="28"/>
          <w:bdr w:val="none" w:sz="0" w:space="0" w:color="auto"/>
          <w:lang w:val="cs-CZ"/>
        </w:rPr>
      </w:pPr>
    </w:p>
    <w:p w14:paraId="4071B707" w14:textId="77777777" w:rsidR="00EA0FE0" w:rsidRPr="00EA0FE0" w:rsidRDefault="00EA0FE0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sz w:val="28"/>
          <w:szCs w:val="28"/>
          <w:bdr w:val="none" w:sz="0" w:space="0" w:color="auto"/>
          <w:lang w:val="cs-CZ"/>
        </w:rPr>
      </w:pPr>
      <w:proofErr w:type="spellStart"/>
      <w:r w:rsidRPr="00EA0FE0">
        <w:rPr>
          <w:rFonts w:ascii="Calibri" w:eastAsia="Calibri" w:hAnsi="Calibri"/>
          <w:b/>
          <w:sz w:val="28"/>
          <w:szCs w:val="28"/>
          <w:bdr w:val="none" w:sz="0" w:space="0" w:color="auto"/>
          <w:lang w:val="cs-CZ"/>
        </w:rPr>
        <w:t>Contera</w:t>
      </w:r>
      <w:proofErr w:type="spellEnd"/>
      <w:r w:rsidRPr="00EA0FE0">
        <w:rPr>
          <w:rFonts w:ascii="Calibri" w:eastAsia="Calibri" w:hAnsi="Calibri"/>
          <w:b/>
          <w:sz w:val="28"/>
          <w:szCs w:val="28"/>
          <w:bdr w:val="none" w:sz="0" w:space="0" w:color="auto"/>
          <w:lang w:val="cs-CZ"/>
        </w:rPr>
        <w:t xml:space="preserve"> refinancovala úvěry a získala prostředky na další rozvoj</w:t>
      </w:r>
    </w:p>
    <w:p w14:paraId="13683888" w14:textId="11B7707D" w:rsidR="00EA0FE0" w:rsidRPr="00EA0FE0" w:rsidRDefault="00EA0FE0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/>
          <w:bCs/>
          <w:bdr w:val="none" w:sz="0" w:space="0" w:color="auto"/>
          <w:lang w:val="cs-CZ"/>
        </w:rPr>
      </w:pPr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Společnost Contera získala syndikovaný úvěr od ČSOB</w:t>
      </w:r>
      <w:r w:rsidR="005A6C52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a Komerční banky</w:t>
      </w:r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v celkovém objemu 155 milionů eur. Jeho větší část tvoří prostředky na </w:t>
      </w:r>
      <w:r w:rsidR="005A6C52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re</w:t>
      </w:r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financování portfolia moderních skladů a výrobních hal v České republice a na Slovensku, </w:t>
      </w:r>
      <w:r w:rsidR="003D635A"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kter</w:t>
      </w:r>
      <w:r w:rsidR="003D635A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é</w:t>
      </w:r>
      <w:r w:rsidR="003D635A"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</w:t>
      </w:r>
      <w:r w:rsidR="003D635A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v rámci CTRE </w:t>
      </w:r>
      <w:proofErr w:type="spellStart"/>
      <w:r w:rsidR="003D635A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Fund</w:t>
      </w:r>
      <w:proofErr w:type="spellEnd"/>
      <w:r w:rsidR="003D635A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vlastní</w:t>
      </w:r>
      <w:r w:rsidR="003D635A"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</w:t>
      </w:r>
      <w:r w:rsidR="005A6C52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a provozuje </w:t>
      </w:r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Contera společně s americkou investiční firmou TPG </w:t>
      </w:r>
      <w:proofErr w:type="spellStart"/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Capital</w:t>
      </w:r>
      <w:proofErr w:type="spellEnd"/>
      <w:r w:rsidRPr="00EA0FE0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.</w:t>
      </w:r>
      <w:r w:rsidR="0095212B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Druh</w:t>
      </w:r>
      <w:r w:rsidR="00C31797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á </w:t>
      </w:r>
      <w:r w:rsidR="0095212B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část </w:t>
      </w:r>
      <w:r w:rsidR="002F0F36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>je určena</w:t>
      </w:r>
      <w:r w:rsidR="0095212B">
        <w:rPr>
          <w:rFonts w:ascii="Calibri" w:eastAsia="Calibri" w:hAnsi="Calibri" w:cs="Calibri"/>
          <w:b/>
          <w:bCs/>
          <w:bdr w:val="none" w:sz="0" w:space="0" w:color="auto"/>
          <w:lang w:val="cs-CZ"/>
        </w:rPr>
        <w:t xml:space="preserve"> na rozvoj nových projektů.</w:t>
      </w:r>
    </w:p>
    <w:p w14:paraId="255762C8" w14:textId="00C38D2E" w:rsidR="002F0F36" w:rsidRPr="00EA0FE0" w:rsidRDefault="002F0F36" w:rsidP="002F0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  <w:lang w:val="cs-CZ"/>
        </w:rPr>
      </w:pP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„Na nových </w:t>
      </w:r>
      <w:r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úvěrových 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podmínkách jsme intenzivně pracovali od loňského podzimu a to, že jsme vše dokončili právě v této pro všechny náročné a složité době, považujeme za ohromný úspěch</w:t>
      </w:r>
      <w:r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,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 a také vyjádření důvěry ve vizi naší společnosti</w:t>
      </w:r>
      <w:r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. 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Díky refinancování našich </w:t>
      </w:r>
      <w:r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předchozích 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úvěrů </w:t>
      </w:r>
      <w:r w:rsidR="005A6C52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jsme získali podmínky</w:t>
      </w:r>
      <w:r w:rsidR="00E4726D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,</w:t>
      </w:r>
      <w:r w:rsidR="005A6C52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 které nám poskytují stabilitu. Zároveň jsme získali 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financování </w:t>
      </w:r>
      <w:r w:rsidR="005A6C52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pro rozvoj našich nových projektů</w:t>
      </w:r>
      <w:r w:rsidRPr="0090192F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,“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řekl </w:t>
      </w:r>
      <w:r>
        <w:rPr>
          <w:rFonts w:ascii="Calibri" w:eastAsia="Calibri" w:hAnsi="Calibri" w:cs="Calibri"/>
          <w:bdr w:val="none" w:sz="0" w:space="0" w:color="auto"/>
          <w:lang w:val="cs-CZ"/>
        </w:rPr>
        <w:t xml:space="preserve">Dušan Kastl, partner a výkonný ředitel </w:t>
      </w:r>
      <w:proofErr w:type="spellStart"/>
      <w:r w:rsidRPr="00EA0FE0">
        <w:rPr>
          <w:rFonts w:ascii="Calibri" w:eastAsia="Calibri" w:hAnsi="Calibri" w:cs="Calibri"/>
          <w:bdr w:val="none" w:sz="0" w:space="0" w:color="auto"/>
          <w:lang w:val="cs-CZ"/>
        </w:rPr>
        <w:t>Contery</w:t>
      </w:r>
      <w:proofErr w:type="spellEnd"/>
      <w:r w:rsidRPr="00EA0FE0">
        <w:rPr>
          <w:rFonts w:ascii="Calibri" w:eastAsia="Calibri" w:hAnsi="Calibri" w:cs="Calibri"/>
          <w:bdr w:val="none" w:sz="0" w:space="0" w:color="auto"/>
          <w:lang w:val="cs-CZ"/>
        </w:rPr>
        <w:t>.</w:t>
      </w:r>
    </w:p>
    <w:p w14:paraId="5429195A" w14:textId="7651EA52" w:rsidR="00EA0FE0" w:rsidRDefault="00EA0FE0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  <w:lang w:val="cs-CZ"/>
        </w:rPr>
      </w:pP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Contera </w:t>
      </w:r>
      <w:r w:rsidR="002F0F36">
        <w:rPr>
          <w:rFonts w:ascii="Calibri" w:eastAsia="Calibri" w:hAnsi="Calibri" w:cs="Calibri"/>
          <w:bdr w:val="none" w:sz="0" w:space="0" w:color="auto"/>
          <w:lang w:val="cs-CZ"/>
        </w:rPr>
        <w:t xml:space="preserve">jednak 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konsolidovala své dosavadní úvěry a </w:t>
      </w:r>
      <w:r w:rsidR="002F0F36">
        <w:rPr>
          <w:rFonts w:ascii="Calibri" w:eastAsia="Calibri" w:hAnsi="Calibri" w:cs="Calibri"/>
          <w:bdr w:val="none" w:sz="0" w:space="0" w:color="auto"/>
          <w:lang w:val="cs-CZ"/>
        </w:rPr>
        <w:t xml:space="preserve">k tomu 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získala i úvěrový rámec v objemu několik desítek milionů eur, který může čerpat v příštích třech letech v případě potřeby financování další výstavby, zejména na brownfieldu v Hrušově </w:t>
      </w:r>
      <w:r w:rsidR="00C91087">
        <w:rPr>
          <w:rFonts w:ascii="Calibri" w:eastAsia="Calibri" w:hAnsi="Calibri" w:cs="Calibri"/>
          <w:bdr w:val="none" w:sz="0" w:space="0" w:color="auto"/>
          <w:lang w:val="cs-CZ"/>
        </w:rPr>
        <w:t xml:space="preserve">(Contera Park Ostrava D1) 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a na pozemcích </w:t>
      </w:r>
      <w:r w:rsidR="00D61442">
        <w:rPr>
          <w:rFonts w:ascii="Calibri" w:eastAsia="Calibri" w:hAnsi="Calibri" w:cs="Calibri"/>
          <w:bdr w:val="none" w:sz="0" w:space="0" w:color="auto"/>
          <w:lang w:val="cs-CZ"/>
        </w:rPr>
        <w:t xml:space="preserve">v 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>Hustopečích u Brna</w:t>
      </w:r>
      <w:r w:rsidR="00C91087">
        <w:rPr>
          <w:rFonts w:ascii="Calibri" w:eastAsia="Calibri" w:hAnsi="Calibri" w:cs="Calibri"/>
          <w:bdr w:val="none" w:sz="0" w:space="0" w:color="auto"/>
          <w:lang w:val="cs-CZ"/>
        </w:rPr>
        <w:t xml:space="preserve"> (Contera Park Hustopeče)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>. V Hustopečích se Contera stala vlastníkem přibližně 80 000 m</w:t>
      </w:r>
      <w:r w:rsidRPr="0090192F">
        <w:rPr>
          <w:rFonts w:ascii="Calibri" w:eastAsia="Calibri" w:hAnsi="Calibri" w:cs="Calibri"/>
          <w:bdr w:val="none" w:sz="0" w:space="0" w:color="auto"/>
          <w:vertAlign w:val="superscript"/>
          <w:lang w:val="cs-CZ"/>
        </w:rPr>
        <w:t>2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určených pro průmyslovou výstavbu letos v únoru.</w:t>
      </w:r>
    </w:p>
    <w:p w14:paraId="3F974C11" w14:textId="066B12E1" w:rsidR="00B61F17" w:rsidRPr="00EA0FE0" w:rsidRDefault="00B87085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  <w:lang w:val="cs-CZ"/>
        </w:rPr>
      </w:pPr>
      <w:r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„</w:t>
      </w:r>
      <w:r w:rsidR="00B61F17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Konsolidace </w:t>
      </w:r>
      <w:r w:rsidR="00546902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dílčích </w:t>
      </w:r>
      <w:r w:rsidR="00B61F17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úvěrových linek</w:t>
      </w:r>
      <w:r w:rsidR="00546902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 z různých odvětví, segmentů a lokací do jednoho dobře rizikově diverzifikovaného nemovitostního portfolia se </w:t>
      </w:r>
      <w:r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nám zkrátka </w:t>
      </w:r>
      <w:r w:rsidR="00546902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ukázala jako dobrá str</w:t>
      </w:r>
      <w:r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a</w:t>
      </w:r>
      <w:r w:rsidR="00546902"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 xml:space="preserve">tegie a dostatečně bonitní zástava pro získání zajímavého developerského financování. </w:t>
      </w:r>
      <w:r w:rsidRPr="008D2AB1">
        <w:rPr>
          <w:rFonts w:ascii="Calibri" w:eastAsia="Calibri" w:hAnsi="Calibri" w:cs="Calibri"/>
          <w:i/>
          <w:iCs/>
          <w:bdr w:val="none" w:sz="0" w:space="0" w:color="auto"/>
          <w:lang w:val="cs-CZ"/>
        </w:rPr>
        <w:t>Tyto zdroje využijeme s maximálním uvážením a efektivitou,“</w:t>
      </w:r>
      <w:r>
        <w:rPr>
          <w:rFonts w:ascii="Calibri" w:eastAsia="Calibri" w:hAnsi="Calibri" w:cs="Calibri"/>
          <w:bdr w:val="none" w:sz="0" w:space="0" w:color="auto"/>
          <w:lang w:val="cs-CZ"/>
        </w:rPr>
        <w:t xml:space="preserve"> uvedla Daniela Fraňková, CFO společnosti.</w:t>
      </w:r>
      <w:r w:rsidR="00546902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  <w:r w:rsidR="00B61F17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</w:p>
    <w:p w14:paraId="3A762D91" w14:textId="61717A5E" w:rsidR="00EA0FE0" w:rsidRDefault="00B311B2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  <w:lang w:val="cs-CZ"/>
        </w:rPr>
      </w:pPr>
      <w:r>
        <w:rPr>
          <w:rFonts w:ascii="Calibri" w:eastAsia="Calibri" w:hAnsi="Calibri" w:cs="Calibri"/>
          <w:bdr w:val="none" w:sz="0" w:space="0" w:color="auto"/>
          <w:lang w:val="cs-CZ"/>
        </w:rPr>
        <w:t xml:space="preserve">Součástí portfolia CTRE </w:t>
      </w:r>
      <w:proofErr w:type="spellStart"/>
      <w:r>
        <w:rPr>
          <w:rFonts w:ascii="Calibri" w:eastAsia="Calibri" w:hAnsi="Calibri" w:cs="Calibri"/>
          <w:bdr w:val="none" w:sz="0" w:space="0" w:color="auto"/>
          <w:lang w:val="cs-CZ"/>
        </w:rPr>
        <w:t>Fund</w:t>
      </w:r>
      <w:proofErr w:type="spellEnd"/>
      <w:r>
        <w:rPr>
          <w:rFonts w:ascii="Calibri" w:eastAsia="Calibri" w:hAnsi="Calibri" w:cs="Calibri"/>
          <w:bdr w:val="none" w:sz="0" w:space="0" w:color="auto"/>
          <w:lang w:val="cs-CZ"/>
        </w:rPr>
        <w:t xml:space="preserve">, společného podniku </w:t>
      </w:r>
      <w:proofErr w:type="spellStart"/>
      <w:r>
        <w:rPr>
          <w:rFonts w:ascii="Calibri" w:eastAsia="Calibri" w:hAnsi="Calibri" w:cs="Calibri"/>
          <w:bdr w:val="none" w:sz="0" w:space="0" w:color="auto"/>
          <w:lang w:val="cs-CZ"/>
        </w:rPr>
        <w:t>Contery</w:t>
      </w:r>
      <w:proofErr w:type="spellEnd"/>
      <w:r>
        <w:rPr>
          <w:rFonts w:ascii="Calibri" w:eastAsia="Calibri" w:hAnsi="Calibri" w:cs="Calibri"/>
          <w:bdr w:val="none" w:sz="0" w:space="0" w:color="auto"/>
          <w:lang w:val="cs-CZ"/>
        </w:rPr>
        <w:t xml:space="preserve"> a TPG,</w:t>
      </w:r>
      <w:r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  <w:r w:rsidR="000D6EE0">
        <w:rPr>
          <w:rFonts w:ascii="Calibri" w:eastAsia="Calibri" w:hAnsi="Calibri" w:cs="Calibri"/>
          <w:bdr w:val="none" w:sz="0" w:space="0" w:color="auto"/>
          <w:lang w:val="cs-CZ"/>
        </w:rPr>
        <w:t>jsou</w:t>
      </w:r>
      <w:r w:rsidR="00D37956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  <w:r w:rsidR="00E55732">
        <w:rPr>
          <w:rFonts w:ascii="Calibri" w:eastAsia="Calibri" w:hAnsi="Calibri" w:cs="Calibri"/>
          <w:bdr w:val="none" w:sz="0" w:space="0" w:color="auto"/>
          <w:lang w:val="cs-CZ"/>
        </w:rPr>
        <w:t>business parky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o zastavěné ploše </w:t>
      </w:r>
      <w:r w:rsidR="00CE6435" w:rsidRPr="008D2AB1">
        <w:rPr>
          <w:rFonts w:ascii="Calibri" w:eastAsia="Calibri" w:hAnsi="Calibri" w:cs="Calibri"/>
          <w:bdr w:val="none" w:sz="0" w:space="0" w:color="auto"/>
          <w:lang w:val="cs-CZ"/>
        </w:rPr>
        <w:t>257 4</w:t>
      </w:r>
      <w:r w:rsidR="00EA0FE0" w:rsidRPr="008D2AB1">
        <w:rPr>
          <w:rFonts w:ascii="Calibri" w:eastAsia="Calibri" w:hAnsi="Calibri" w:cs="Calibri"/>
          <w:bdr w:val="none" w:sz="0" w:space="0" w:color="auto"/>
          <w:lang w:val="cs-CZ"/>
        </w:rPr>
        <w:t>00 m</w:t>
      </w:r>
      <w:r w:rsidR="00EA0FE0" w:rsidRPr="008D2AB1">
        <w:rPr>
          <w:rFonts w:ascii="Calibri" w:eastAsia="Calibri" w:hAnsi="Calibri" w:cs="Calibri"/>
          <w:bdr w:val="none" w:sz="0" w:space="0" w:color="auto"/>
          <w:vertAlign w:val="superscript"/>
          <w:lang w:val="cs-CZ"/>
        </w:rPr>
        <w:t>2</w:t>
      </w:r>
      <w:r w:rsidR="00313677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s možností expanze o dalších </w:t>
      </w:r>
      <w:r w:rsidR="00D37956">
        <w:rPr>
          <w:rFonts w:ascii="Calibri" w:eastAsia="Calibri" w:hAnsi="Calibri" w:cs="Calibri"/>
          <w:bdr w:val="none" w:sz="0" w:space="0" w:color="auto"/>
          <w:lang w:val="cs-CZ"/>
        </w:rPr>
        <w:t>196 6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00 m</w:t>
      </w:r>
      <w:r w:rsidR="00EA0FE0" w:rsidRPr="0090192F">
        <w:rPr>
          <w:rFonts w:ascii="Calibri" w:eastAsia="Calibri" w:hAnsi="Calibri" w:cs="Calibri"/>
          <w:bdr w:val="none" w:sz="0" w:space="0" w:color="auto"/>
          <w:vertAlign w:val="superscript"/>
          <w:lang w:val="cs-CZ"/>
        </w:rPr>
        <w:t>2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. Je</w:t>
      </w:r>
      <w:r w:rsidR="00E55732">
        <w:rPr>
          <w:rFonts w:ascii="Calibri" w:eastAsia="Calibri" w:hAnsi="Calibri" w:cs="Calibri"/>
          <w:bdr w:val="none" w:sz="0" w:space="0" w:color="auto"/>
          <w:lang w:val="cs-CZ"/>
        </w:rPr>
        <w:t xml:space="preserve">dná se o 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Contera Parky </w:t>
      </w:r>
      <w:r w:rsidR="00040109">
        <w:rPr>
          <w:rFonts w:ascii="Calibri" w:eastAsia="Calibri" w:hAnsi="Calibri" w:cs="Calibri"/>
          <w:bdr w:val="none" w:sz="0" w:space="0" w:color="auto"/>
          <w:lang w:val="cs-CZ"/>
        </w:rPr>
        <w:t xml:space="preserve">v ČR: </w:t>
      </w:r>
      <w:r w:rsidR="00040109" w:rsidRPr="00EA0FE0">
        <w:rPr>
          <w:rFonts w:ascii="Calibri" w:eastAsia="Calibri" w:hAnsi="Calibri" w:cs="Calibri"/>
          <w:bdr w:val="none" w:sz="0" w:space="0" w:color="auto"/>
          <w:lang w:val="cs-CZ"/>
        </w:rPr>
        <w:t>Hustopeče</w:t>
      </w:r>
      <w:r w:rsidR="00040109">
        <w:rPr>
          <w:rFonts w:ascii="Calibri" w:eastAsia="Calibri" w:hAnsi="Calibri" w:cs="Calibri"/>
          <w:bdr w:val="none" w:sz="0" w:space="0" w:color="auto"/>
          <w:lang w:val="cs-CZ"/>
        </w:rPr>
        <w:t>,</w:t>
      </w:r>
      <w:r w:rsidR="00040109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Mošnov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, Ostrava City, Ostrava D1</w:t>
      </w:r>
      <w:r w:rsidR="00040109">
        <w:rPr>
          <w:rFonts w:ascii="Calibri" w:eastAsia="Calibri" w:hAnsi="Calibri" w:cs="Calibri"/>
          <w:bdr w:val="none" w:sz="0" w:space="0" w:color="auto"/>
          <w:lang w:val="cs-CZ"/>
        </w:rPr>
        <w:t xml:space="preserve">, </w:t>
      </w:r>
      <w:r w:rsidR="00040109" w:rsidRPr="00EA0FE0">
        <w:rPr>
          <w:rFonts w:ascii="Calibri" w:eastAsia="Calibri" w:hAnsi="Calibri" w:cs="Calibri"/>
          <w:bdr w:val="none" w:sz="0" w:space="0" w:color="auto"/>
          <w:lang w:val="cs-CZ"/>
        </w:rPr>
        <w:t>Teplice</w:t>
      </w:r>
      <w:r w:rsidR="00040109">
        <w:rPr>
          <w:rFonts w:ascii="Calibri" w:eastAsia="Calibri" w:hAnsi="Calibri" w:cs="Calibri"/>
          <w:bdr w:val="none" w:sz="0" w:space="0" w:color="auto"/>
          <w:lang w:val="cs-CZ"/>
        </w:rPr>
        <w:t xml:space="preserve">; a na Slovensku 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Bratislav</w:t>
      </w:r>
      <w:r w:rsidR="00040109">
        <w:rPr>
          <w:rFonts w:ascii="Calibri" w:eastAsia="Calibri" w:hAnsi="Calibri" w:cs="Calibri"/>
          <w:bdr w:val="none" w:sz="0" w:space="0" w:color="auto"/>
          <w:lang w:val="cs-CZ"/>
        </w:rPr>
        <w:t>a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, Prešov</w:t>
      </w:r>
      <w:r w:rsidR="003511FD">
        <w:rPr>
          <w:rFonts w:ascii="Calibri" w:eastAsia="Calibri" w:hAnsi="Calibri" w:cs="Calibri"/>
          <w:bdr w:val="none" w:sz="0" w:space="0" w:color="auto"/>
          <w:lang w:val="cs-CZ"/>
        </w:rPr>
        <w:t xml:space="preserve"> </w:t>
      </w:r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a </w:t>
      </w:r>
      <w:proofErr w:type="spellStart"/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>Svätý</w:t>
      </w:r>
      <w:proofErr w:type="spellEnd"/>
      <w:r w:rsidR="00EA0FE0" w:rsidRPr="00EA0FE0">
        <w:rPr>
          <w:rFonts w:ascii="Calibri" w:eastAsia="Calibri" w:hAnsi="Calibri" w:cs="Calibri"/>
          <w:bdr w:val="none" w:sz="0" w:space="0" w:color="auto"/>
          <w:lang w:val="cs-CZ"/>
        </w:rPr>
        <w:t xml:space="preserve"> Jur.</w:t>
      </w:r>
    </w:p>
    <w:p w14:paraId="52AA871D" w14:textId="61930D48" w:rsidR="00EA0FE0" w:rsidRDefault="00B61F17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iCs/>
          <w:bdr w:val="none" w:sz="0" w:space="0" w:color="auto"/>
          <w:lang w:val="cs-CZ"/>
        </w:rPr>
      </w:pPr>
      <w:r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Právní stránku transakce zaštítila </w:t>
      </w:r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advokátní kanceláře </w:t>
      </w:r>
      <w:proofErr w:type="spellStart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>Baker</w:t>
      </w:r>
      <w:proofErr w:type="spellEnd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 </w:t>
      </w:r>
      <w:proofErr w:type="spellStart"/>
      <w:proofErr w:type="gramStart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>McKenzie</w:t>
      </w:r>
      <w:proofErr w:type="spellEnd"/>
      <w:proofErr w:type="gramEnd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 </w:t>
      </w:r>
      <w:r>
        <w:rPr>
          <w:rFonts w:ascii="Calibri" w:eastAsia="Calibri" w:hAnsi="Calibri" w:cs="Calibri"/>
          <w:iCs/>
          <w:bdr w:val="none" w:sz="0" w:space="0" w:color="auto"/>
          <w:lang w:val="cs-CZ"/>
        </w:rPr>
        <w:t>a to ve spolupráci s</w:t>
      </w:r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 advokátní kancelář</w:t>
      </w:r>
      <w:r>
        <w:rPr>
          <w:rFonts w:ascii="Calibri" w:eastAsia="Calibri" w:hAnsi="Calibri" w:cs="Calibri"/>
          <w:iCs/>
          <w:bdr w:val="none" w:sz="0" w:space="0" w:color="auto"/>
          <w:lang w:val="cs-CZ"/>
        </w:rPr>
        <w:t>í</w:t>
      </w:r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 </w:t>
      </w:r>
      <w:proofErr w:type="spellStart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>White</w:t>
      </w:r>
      <w:proofErr w:type="spellEnd"/>
      <w:r w:rsidR="002F0F36" w:rsidRPr="002F0F36">
        <w:rPr>
          <w:rFonts w:ascii="Calibri" w:eastAsia="Calibri" w:hAnsi="Calibri" w:cs="Calibri"/>
          <w:iCs/>
          <w:bdr w:val="none" w:sz="0" w:space="0" w:color="auto"/>
          <w:lang w:val="cs-CZ"/>
        </w:rPr>
        <w:t xml:space="preserve"> &amp; Case</w:t>
      </w:r>
      <w:r w:rsidR="002F0F36" w:rsidRPr="008D2AB1">
        <w:rPr>
          <w:rFonts w:ascii="Calibri" w:eastAsia="Calibri" w:hAnsi="Calibri" w:cs="Calibri"/>
          <w:iCs/>
          <w:bdr w:val="none" w:sz="0" w:space="0" w:color="auto"/>
          <w:lang w:val="cs-CZ"/>
        </w:rPr>
        <w:t>.</w:t>
      </w:r>
    </w:p>
    <w:p w14:paraId="06CAE13A" w14:textId="34559878" w:rsidR="00EA0FE0" w:rsidRDefault="00EA0FE0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sz w:val="8"/>
          <w:szCs w:val="8"/>
          <w:bdr w:val="none" w:sz="0" w:space="0" w:color="auto"/>
          <w:lang w:val="cs-CZ"/>
        </w:rPr>
      </w:pPr>
    </w:p>
    <w:p w14:paraId="52C712D4" w14:textId="587177C3" w:rsidR="008D2AB1" w:rsidRDefault="008D2AB1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sz w:val="8"/>
          <w:szCs w:val="8"/>
          <w:bdr w:val="none" w:sz="0" w:space="0" w:color="auto"/>
          <w:lang w:val="cs-CZ"/>
        </w:rPr>
      </w:pPr>
    </w:p>
    <w:p w14:paraId="140C5147" w14:textId="77777777" w:rsidR="008D2AB1" w:rsidRPr="00784DBC" w:rsidRDefault="008D2AB1" w:rsidP="00EA0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sz w:val="8"/>
          <w:szCs w:val="8"/>
          <w:bdr w:val="none" w:sz="0" w:space="0" w:color="auto"/>
          <w:lang w:val="cs-CZ"/>
        </w:rPr>
      </w:pPr>
    </w:p>
    <w:p w14:paraId="0D382458" w14:textId="77777777" w:rsidR="003A568F" w:rsidRPr="00E45A92" w:rsidRDefault="003A568F" w:rsidP="00E45A9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rPr>
          <w:rFonts w:ascii="Calibri" w:hAnsi="Calibri" w:cs="Calibri"/>
          <w:b/>
          <w:lang w:val="cs-CZ"/>
        </w:rPr>
      </w:pPr>
      <w:r w:rsidRPr="00E45A92">
        <w:rPr>
          <w:rFonts w:ascii="Calibri" w:hAnsi="Calibri" w:cs="Calibri"/>
          <w:b/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68A50" wp14:editId="233512D4">
                <wp:simplePos x="0" y="0"/>
                <wp:positionH relativeFrom="column">
                  <wp:posOffset>-358140</wp:posOffset>
                </wp:positionH>
                <wp:positionV relativeFrom="paragraph">
                  <wp:posOffset>-96520</wp:posOffset>
                </wp:positionV>
                <wp:extent cx="68400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CB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87D9D" id="Přímá spojnice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2pt,-7.6pt" to="510.4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" strokecolor="#c4cb2b" strokeweight="1pt"/>
            </w:pict>
          </mc:Fallback>
        </mc:AlternateContent>
      </w:r>
      <w:r w:rsidRPr="00E45A92">
        <w:rPr>
          <w:rFonts w:ascii="Calibri" w:hAnsi="Calibri" w:cs="Calibri"/>
          <w:b/>
          <w:lang w:val="cs-CZ"/>
        </w:rPr>
        <w:t>Kontakt pro média</w:t>
      </w:r>
    </w:p>
    <w:p w14:paraId="6C005E30" w14:textId="3ADBB5E8" w:rsidR="00D5781F" w:rsidRPr="00E45A92" w:rsidRDefault="00AE5E42" w:rsidP="00E45A9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Erika Straškrabová</w:t>
      </w:r>
      <w:r w:rsidR="003A568F" w:rsidRPr="00E45A92">
        <w:rPr>
          <w:rFonts w:ascii="Calibri" w:hAnsi="Calibri" w:cs="Calibri"/>
          <w:lang w:val="cs-CZ"/>
        </w:rPr>
        <w:tab/>
      </w:r>
    </w:p>
    <w:p w14:paraId="4BC0C1F8" w14:textId="77B1941E" w:rsidR="000C3742" w:rsidRPr="00E45A92" w:rsidRDefault="00AE5E42" w:rsidP="00E45A9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Marketing &amp; PR manager</w:t>
      </w:r>
    </w:p>
    <w:p w14:paraId="06E5C927" w14:textId="510FF661" w:rsidR="00D5781F" w:rsidRPr="00E45A92" w:rsidRDefault="00EC45AD" w:rsidP="00E45A9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M: </w:t>
      </w:r>
      <w:r w:rsidR="003A568F" w:rsidRPr="00E45A92">
        <w:rPr>
          <w:rFonts w:ascii="Calibri" w:hAnsi="Calibri" w:cs="Calibri"/>
          <w:lang w:val="cs-CZ"/>
        </w:rPr>
        <w:t>+420</w:t>
      </w:r>
      <w:r w:rsidR="00AE5E42">
        <w:rPr>
          <w:rFonts w:ascii="Calibri" w:hAnsi="Calibri" w:cs="Calibri"/>
          <w:lang w:val="cs-CZ"/>
        </w:rPr>
        <w:t> 732 915 226</w:t>
      </w:r>
      <w:r w:rsidR="003A568F" w:rsidRPr="00E45A92">
        <w:rPr>
          <w:rFonts w:ascii="Calibri" w:hAnsi="Calibri" w:cs="Calibri"/>
          <w:lang w:val="cs-CZ"/>
        </w:rPr>
        <w:tab/>
      </w:r>
    </w:p>
    <w:p w14:paraId="3FB2B94A" w14:textId="5EC6C89F" w:rsidR="00C45E2D" w:rsidRDefault="00EC45AD" w:rsidP="00E45A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E: </w:t>
      </w:r>
      <w:r w:rsidR="00AE5E42">
        <w:rPr>
          <w:rFonts w:ascii="Calibri" w:hAnsi="Calibri" w:cs="Calibri"/>
          <w:lang w:val="cs-CZ"/>
        </w:rPr>
        <w:t>erika.straskrabova</w:t>
      </w:r>
      <w:r w:rsidR="003A568F" w:rsidRPr="00E45A92">
        <w:rPr>
          <w:rFonts w:ascii="Calibri" w:hAnsi="Calibri" w:cs="Calibri"/>
          <w:lang w:val="cs-CZ"/>
        </w:rPr>
        <w:t>@</w:t>
      </w:r>
      <w:r w:rsidR="00AE5E42">
        <w:rPr>
          <w:rFonts w:ascii="Calibri" w:hAnsi="Calibri" w:cs="Calibri"/>
          <w:lang w:val="cs-CZ"/>
        </w:rPr>
        <w:t>contera</w:t>
      </w:r>
      <w:r w:rsidR="003A568F" w:rsidRPr="00E45A92">
        <w:rPr>
          <w:rFonts w:ascii="Calibri" w:hAnsi="Calibri" w:cs="Calibri"/>
          <w:lang w:val="cs-CZ"/>
        </w:rPr>
        <w:t>.cz</w:t>
      </w:r>
    </w:p>
    <w:p w14:paraId="4274521A" w14:textId="77777777" w:rsidR="00E45A92" w:rsidRPr="00E45A92" w:rsidRDefault="00E45A92" w:rsidP="00E45A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rPr>
          <w:rFonts w:ascii="Calibri" w:eastAsia="Calibri" w:hAnsi="Calibri" w:cs="Calibri"/>
          <w:bdr w:val="none" w:sz="0" w:space="0" w:color="auto"/>
          <w:lang w:val="cs-CZ"/>
        </w:rPr>
      </w:pPr>
    </w:p>
    <w:p w14:paraId="6DC4E9F8" w14:textId="6BD99F68" w:rsidR="00FB36BF" w:rsidRPr="00A54DFA" w:rsidRDefault="00E75282" w:rsidP="00E7528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Společnost Contera založená v roce 2009 vlastní a provozuje průmyslové parky v prvotřídních lokalitách v ČR (</w:t>
      </w:r>
      <w:r w:rsidR="008E2E0D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Brno, Ostrava, 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Praha, Teplice)</w:t>
      </w:r>
      <w:r w:rsidR="00136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a na Slovensku (Bratislava, Prešov)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. </w:t>
      </w:r>
      <w:r w:rsidR="00574B8F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V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e svém portfoliu poskytuje klientům možnost nájmu i řešení upravená a vybudovaná na míru (build-to-suit). Společnost se specializuje na přestavbu a revitalizaci </w:t>
      </w:r>
      <w:r w:rsidR="00265B39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ne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využívaných areálů (brownfieldů) v lokalitách s dobrou infrastrukturou</w:t>
      </w:r>
      <w:r w:rsidR="003306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a klade důraz na soulad parků s okolním prostředím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. Portfolio zahrnuje přibližně </w:t>
      </w:r>
      <w:r w:rsidR="00530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stávajících </w:t>
      </w:r>
      <w:r w:rsidR="003E35C0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354 </w:t>
      </w:r>
      <w:r w:rsidR="002441C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000</w:t>
      </w:r>
      <w:r w:rsidR="00C86C61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m</w:t>
      </w:r>
      <w:r w:rsidR="00C86C61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vertAlign w:val="superscript"/>
          <w:lang w:val="cs-CZ"/>
        </w:rPr>
        <w:t>2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</w:t>
      </w:r>
      <w:r w:rsidR="00530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a plánovaných </w:t>
      </w:r>
      <w:r w:rsidR="002441C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245 </w:t>
      </w:r>
      <w:r w:rsidR="0086360F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200</w:t>
      </w:r>
      <w:r w:rsidR="00530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m</w:t>
      </w:r>
      <w:r w:rsidR="00530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vertAlign w:val="superscript"/>
          <w:lang w:val="cs-CZ"/>
        </w:rPr>
        <w:t>2</w:t>
      </w:r>
      <w:r w:rsidR="005304E2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průmyslových nemovitostí. </w:t>
      </w:r>
      <w:r w:rsidR="00140D2C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V roce 2019</w:t>
      </w:r>
      <w:r w:rsidR="00140D2C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</w:t>
      </w:r>
      <w:r w:rsidR="00416230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vytvořila </w:t>
      </w:r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Contera společný podnik s TPG Real </w:t>
      </w:r>
      <w:proofErr w:type="spellStart"/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Estate</w:t>
      </w:r>
      <w:proofErr w:type="spellEnd"/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</w:t>
      </w:r>
      <w:proofErr w:type="spellStart"/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Partners</w:t>
      </w:r>
      <w:proofErr w:type="spellEnd"/>
      <w:r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, specializovanou investiční platformou pro kapitálové investice do nemovitostí, kterou vlastní globální společnost TPG zabývající se alternativními aktivy.</w:t>
      </w:r>
      <w:r w:rsidR="00E55EB0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 </w:t>
      </w:r>
      <w:r w:rsidR="00965D6B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 xml:space="preserve">V roce 2019 </w:t>
      </w:r>
      <w:r w:rsidR="00EB5016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Contera vstoupila na slovenský trh</w:t>
      </w:r>
      <w:r w:rsidR="00965D6B" w:rsidRPr="00A54DFA"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  <w:lang w:val="cs-CZ"/>
        </w:rPr>
        <w:t>.</w:t>
      </w:r>
    </w:p>
    <w:sectPr w:rsidR="00FB36BF" w:rsidRPr="00A54DFA">
      <w:headerReference w:type="default" r:id="rId10"/>
      <w:footerReference w:type="default" r:id="rId11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1E4B" w14:textId="77777777" w:rsidR="000B174F" w:rsidRDefault="000B174F">
      <w:r>
        <w:separator/>
      </w:r>
    </w:p>
  </w:endnote>
  <w:endnote w:type="continuationSeparator" w:id="0">
    <w:p w14:paraId="2F2B9282" w14:textId="77777777" w:rsidR="000B174F" w:rsidRDefault="000B174F">
      <w:r>
        <w:continuationSeparator/>
      </w:r>
    </w:p>
  </w:endnote>
  <w:endnote w:type="continuationNotice" w:id="1">
    <w:p w14:paraId="60FF284A" w14:textId="77777777" w:rsidR="000B174F" w:rsidRDefault="000B1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old">
    <w:altName w:val="Cambria"/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Montserrat Regular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E9FE" w14:textId="77777777" w:rsidR="00FB36BF" w:rsidRDefault="00CF174B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FB36BF" w:rsidRDefault="00CF174B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říku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 xml:space="preserve">m u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Městsk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A768E" w14:textId="77777777" w:rsidR="000B174F" w:rsidRDefault="000B174F">
      <w:r>
        <w:separator/>
      </w:r>
    </w:p>
  </w:footnote>
  <w:footnote w:type="continuationSeparator" w:id="0">
    <w:p w14:paraId="6EDDD4AB" w14:textId="77777777" w:rsidR="000B174F" w:rsidRDefault="000B174F">
      <w:r>
        <w:continuationSeparator/>
      </w:r>
    </w:p>
  </w:footnote>
  <w:footnote w:type="continuationNotice" w:id="1">
    <w:p w14:paraId="31D8B298" w14:textId="77777777" w:rsidR="000B174F" w:rsidRDefault="000B1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E9FD" w14:textId="77777777" w:rsidR="00FB36BF" w:rsidRDefault="00CF174B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6DC4EA01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BF"/>
    <w:rsid w:val="000009BA"/>
    <w:rsid w:val="00002277"/>
    <w:rsid w:val="00025FB2"/>
    <w:rsid w:val="00033434"/>
    <w:rsid w:val="00040109"/>
    <w:rsid w:val="00045BFC"/>
    <w:rsid w:val="000514C8"/>
    <w:rsid w:val="0005459C"/>
    <w:rsid w:val="00057652"/>
    <w:rsid w:val="00062B3C"/>
    <w:rsid w:val="00066F5F"/>
    <w:rsid w:val="000714EE"/>
    <w:rsid w:val="00071620"/>
    <w:rsid w:val="00075261"/>
    <w:rsid w:val="00076773"/>
    <w:rsid w:val="00080A37"/>
    <w:rsid w:val="00083197"/>
    <w:rsid w:val="00083665"/>
    <w:rsid w:val="000A10C8"/>
    <w:rsid w:val="000A7627"/>
    <w:rsid w:val="000A7964"/>
    <w:rsid w:val="000B174F"/>
    <w:rsid w:val="000B54F2"/>
    <w:rsid w:val="000B68C6"/>
    <w:rsid w:val="000B6AA1"/>
    <w:rsid w:val="000B7164"/>
    <w:rsid w:val="000C3742"/>
    <w:rsid w:val="000C3C6A"/>
    <w:rsid w:val="000D0DE0"/>
    <w:rsid w:val="000D42A6"/>
    <w:rsid w:val="000D6EE0"/>
    <w:rsid w:val="000E0F4A"/>
    <w:rsid w:val="000E336C"/>
    <w:rsid w:val="000E7403"/>
    <w:rsid w:val="000E7784"/>
    <w:rsid w:val="000F1199"/>
    <w:rsid w:val="000F4E7F"/>
    <w:rsid w:val="000F57DD"/>
    <w:rsid w:val="00101E01"/>
    <w:rsid w:val="00115D2F"/>
    <w:rsid w:val="00131E11"/>
    <w:rsid w:val="00135B9E"/>
    <w:rsid w:val="001364E2"/>
    <w:rsid w:val="00140D2C"/>
    <w:rsid w:val="001473E2"/>
    <w:rsid w:val="00157006"/>
    <w:rsid w:val="00161767"/>
    <w:rsid w:val="00161850"/>
    <w:rsid w:val="00161A23"/>
    <w:rsid w:val="00174853"/>
    <w:rsid w:val="00193108"/>
    <w:rsid w:val="001944A6"/>
    <w:rsid w:val="0019780B"/>
    <w:rsid w:val="001A4243"/>
    <w:rsid w:val="001A45F4"/>
    <w:rsid w:val="001A4797"/>
    <w:rsid w:val="001B281B"/>
    <w:rsid w:val="001B2875"/>
    <w:rsid w:val="001C05B9"/>
    <w:rsid w:val="001C3DF3"/>
    <w:rsid w:val="001D2183"/>
    <w:rsid w:val="001D29CB"/>
    <w:rsid w:val="001D4A45"/>
    <w:rsid w:val="001D5127"/>
    <w:rsid w:val="001E20A8"/>
    <w:rsid w:val="001E508A"/>
    <w:rsid w:val="001F1795"/>
    <w:rsid w:val="001F4576"/>
    <w:rsid w:val="001F47CF"/>
    <w:rsid w:val="00210264"/>
    <w:rsid w:val="00210F75"/>
    <w:rsid w:val="00213E69"/>
    <w:rsid w:val="00215A70"/>
    <w:rsid w:val="00217DFA"/>
    <w:rsid w:val="0022457A"/>
    <w:rsid w:val="002310C7"/>
    <w:rsid w:val="00232DB5"/>
    <w:rsid w:val="00234E48"/>
    <w:rsid w:val="002441CA"/>
    <w:rsid w:val="0025118E"/>
    <w:rsid w:val="00254CC2"/>
    <w:rsid w:val="00265B39"/>
    <w:rsid w:val="00276E53"/>
    <w:rsid w:val="002870C5"/>
    <w:rsid w:val="002A096B"/>
    <w:rsid w:val="002A1290"/>
    <w:rsid w:val="002B1767"/>
    <w:rsid w:val="002B2617"/>
    <w:rsid w:val="002B508D"/>
    <w:rsid w:val="002B5AF8"/>
    <w:rsid w:val="002C141F"/>
    <w:rsid w:val="002C4E27"/>
    <w:rsid w:val="002C5F21"/>
    <w:rsid w:val="002F0735"/>
    <w:rsid w:val="002F0F36"/>
    <w:rsid w:val="002F3026"/>
    <w:rsid w:val="002F7492"/>
    <w:rsid w:val="0030038A"/>
    <w:rsid w:val="00313677"/>
    <w:rsid w:val="00314697"/>
    <w:rsid w:val="003154FE"/>
    <w:rsid w:val="003306E2"/>
    <w:rsid w:val="0033310F"/>
    <w:rsid w:val="00340DA7"/>
    <w:rsid w:val="00344767"/>
    <w:rsid w:val="003511FD"/>
    <w:rsid w:val="00353DEE"/>
    <w:rsid w:val="00361043"/>
    <w:rsid w:val="003660D4"/>
    <w:rsid w:val="003729CB"/>
    <w:rsid w:val="00375C16"/>
    <w:rsid w:val="00390BD4"/>
    <w:rsid w:val="003955AE"/>
    <w:rsid w:val="003A568F"/>
    <w:rsid w:val="003B4479"/>
    <w:rsid w:val="003C2590"/>
    <w:rsid w:val="003C6888"/>
    <w:rsid w:val="003C79AE"/>
    <w:rsid w:val="003D3AA5"/>
    <w:rsid w:val="003D635A"/>
    <w:rsid w:val="003D6862"/>
    <w:rsid w:val="003E35C0"/>
    <w:rsid w:val="003E4D40"/>
    <w:rsid w:val="003E6313"/>
    <w:rsid w:val="003F65AF"/>
    <w:rsid w:val="004051EE"/>
    <w:rsid w:val="004057D3"/>
    <w:rsid w:val="00410650"/>
    <w:rsid w:val="0041475B"/>
    <w:rsid w:val="00416230"/>
    <w:rsid w:val="00432B3C"/>
    <w:rsid w:val="004465D2"/>
    <w:rsid w:val="00446E12"/>
    <w:rsid w:val="0046062D"/>
    <w:rsid w:val="00472EF7"/>
    <w:rsid w:val="004A730C"/>
    <w:rsid w:val="004A766F"/>
    <w:rsid w:val="004B4702"/>
    <w:rsid w:val="004C2FE2"/>
    <w:rsid w:val="004D6583"/>
    <w:rsid w:val="004E426D"/>
    <w:rsid w:val="004E45BC"/>
    <w:rsid w:val="004E48C5"/>
    <w:rsid w:val="00503143"/>
    <w:rsid w:val="00506988"/>
    <w:rsid w:val="00512E75"/>
    <w:rsid w:val="0051309A"/>
    <w:rsid w:val="00522319"/>
    <w:rsid w:val="00527BC9"/>
    <w:rsid w:val="005304E2"/>
    <w:rsid w:val="00536421"/>
    <w:rsid w:val="00541091"/>
    <w:rsid w:val="0054117D"/>
    <w:rsid w:val="00546902"/>
    <w:rsid w:val="00547A4A"/>
    <w:rsid w:val="0056786D"/>
    <w:rsid w:val="00574B8F"/>
    <w:rsid w:val="00580094"/>
    <w:rsid w:val="00581947"/>
    <w:rsid w:val="0059087A"/>
    <w:rsid w:val="00592D84"/>
    <w:rsid w:val="00596A51"/>
    <w:rsid w:val="005A2B74"/>
    <w:rsid w:val="005A5296"/>
    <w:rsid w:val="005A6C52"/>
    <w:rsid w:val="005B05A0"/>
    <w:rsid w:val="005B0612"/>
    <w:rsid w:val="005B0A9E"/>
    <w:rsid w:val="005B1EB8"/>
    <w:rsid w:val="005C197A"/>
    <w:rsid w:val="005D0B2A"/>
    <w:rsid w:val="005E2CA9"/>
    <w:rsid w:val="005F751D"/>
    <w:rsid w:val="00601781"/>
    <w:rsid w:val="0061758F"/>
    <w:rsid w:val="00626C00"/>
    <w:rsid w:val="00634A7A"/>
    <w:rsid w:val="006363CC"/>
    <w:rsid w:val="00654AF9"/>
    <w:rsid w:val="006553D7"/>
    <w:rsid w:val="00661E97"/>
    <w:rsid w:val="006623FC"/>
    <w:rsid w:val="00667879"/>
    <w:rsid w:val="00682F78"/>
    <w:rsid w:val="0068601B"/>
    <w:rsid w:val="006902B8"/>
    <w:rsid w:val="0069116D"/>
    <w:rsid w:val="006A6915"/>
    <w:rsid w:val="006A7053"/>
    <w:rsid w:val="006B23E4"/>
    <w:rsid w:val="006B3081"/>
    <w:rsid w:val="006B6987"/>
    <w:rsid w:val="006B7040"/>
    <w:rsid w:val="006C2DCE"/>
    <w:rsid w:val="006D0EB3"/>
    <w:rsid w:val="006D4CB2"/>
    <w:rsid w:val="006D7496"/>
    <w:rsid w:val="006E3F73"/>
    <w:rsid w:val="006E7159"/>
    <w:rsid w:val="006F4399"/>
    <w:rsid w:val="00701C3B"/>
    <w:rsid w:val="00706A80"/>
    <w:rsid w:val="0071335B"/>
    <w:rsid w:val="00722692"/>
    <w:rsid w:val="00725093"/>
    <w:rsid w:val="00731645"/>
    <w:rsid w:val="00731AA5"/>
    <w:rsid w:val="0073418F"/>
    <w:rsid w:val="00735695"/>
    <w:rsid w:val="00736EE4"/>
    <w:rsid w:val="00737F89"/>
    <w:rsid w:val="0074770D"/>
    <w:rsid w:val="00756D6F"/>
    <w:rsid w:val="00757746"/>
    <w:rsid w:val="00762802"/>
    <w:rsid w:val="007718F5"/>
    <w:rsid w:val="00775C69"/>
    <w:rsid w:val="0077711F"/>
    <w:rsid w:val="007816DA"/>
    <w:rsid w:val="00783B16"/>
    <w:rsid w:val="00783FDF"/>
    <w:rsid w:val="00784DBC"/>
    <w:rsid w:val="007900D3"/>
    <w:rsid w:val="007929B5"/>
    <w:rsid w:val="00795763"/>
    <w:rsid w:val="007975D2"/>
    <w:rsid w:val="007A2D64"/>
    <w:rsid w:val="007D301E"/>
    <w:rsid w:val="007F0CBA"/>
    <w:rsid w:val="007F51E5"/>
    <w:rsid w:val="007F5F76"/>
    <w:rsid w:val="007F7A28"/>
    <w:rsid w:val="00803576"/>
    <w:rsid w:val="00815E4A"/>
    <w:rsid w:val="00816815"/>
    <w:rsid w:val="00816979"/>
    <w:rsid w:val="00822915"/>
    <w:rsid w:val="00822C2D"/>
    <w:rsid w:val="00832968"/>
    <w:rsid w:val="00832B85"/>
    <w:rsid w:val="00834124"/>
    <w:rsid w:val="00835277"/>
    <w:rsid w:val="008367C6"/>
    <w:rsid w:val="0085694E"/>
    <w:rsid w:val="00860D47"/>
    <w:rsid w:val="0086105D"/>
    <w:rsid w:val="0086360F"/>
    <w:rsid w:val="008652F3"/>
    <w:rsid w:val="008707F9"/>
    <w:rsid w:val="008948D9"/>
    <w:rsid w:val="008A0B29"/>
    <w:rsid w:val="008B1886"/>
    <w:rsid w:val="008C781A"/>
    <w:rsid w:val="008D0A57"/>
    <w:rsid w:val="008D2AB1"/>
    <w:rsid w:val="008E2E0D"/>
    <w:rsid w:val="008F4FD3"/>
    <w:rsid w:val="00900303"/>
    <w:rsid w:val="0090192F"/>
    <w:rsid w:val="009102D9"/>
    <w:rsid w:val="00930859"/>
    <w:rsid w:val="00931E4C"/>
    <w:rsid w:val="00936D7A"/>
    <w:rsid w:val="0093791A"/>
    <w:rsid w:val="0094355B"/>
    <w:rsid w:val="009470B6"/>
    <w:rsid w:val="009516E9"/>
    <w:rsid w:val="0095212B"/>
    <w:rsid w:val="009535D8"/>
    <w:rsid w:val="00954D2E"/>
    <w:rsid w:val="00964F33"/>
    <w:rsid w:val="00965D6B"/>
    <w:rsid w:val="00967068"/>
    <w:rsid w:val="00972E8B"/>
    <w:rsid w:val="00974880"/>
    <w:rsid w:val="00974D75"/>
    <w:rsid w:val="00980EC5"/>
    <w:rsid w:val="00985216"/>
    <w:rsid w:val="009872CC"/>
    <w:rsid w:val="0098799E"/>
    <w:rsid w:val="009924CD"/>
    <w:rsid w:val="00993040"/>
    <w:rsid w:val="009A5DBC"/>
    <w:rsid w:val="009A6739"/>
    <w:rsid w:val="009B60B5"/>
    <w:rsid w:val="009C589F"/>
    <w:rsid w:val="009D417B"/>
    <w:rsid w:val="009E3F7F"/>
    <w:rsid w:val="009E4E92"/>
    <w:rsid w:val="009E65C8"/>
    <w:rsid w:val="009F6EAF"/>
    <w:rsid w:val="00A11C63"/>
    <w:rsid w:val="00A20351"/>
    <w:rsid w:val="00A21ADF"/>
    <w:rsid w:val="00A267C8"/>
    <w:rsid w:val="00A32F12"/>
    <w:rsid w:val="00A5003F"/>
    <w:rsid w:val="00A5321E"/>
    <w:rsid w:val="00A54DFA"/>
    <w:rsid w:val="00A552C9"/>
    <w:rsid w:val="00A60511"/>
    <w:rsid w:val="00A642EB"/>
    <w:rsid w:val="00A76AC0"/>
    <w:rsid w:val="00A85A65"/>
    <w:rsid w:val="00A974A6"/>
    <w:rsid w:val="00AA39A4"/>
    <w:rsid w:val="00AB0C9B"/>
    <w:rsid w:val="00AB4331"/>
    <w:rsid w:val="00AD4840"/>
    <w:rsid w:val="00AE5E42"/>
    <w:rsid w:val="00AF2633"/>
    <w:rsid w:val="00AF2841"/>
    <w:rsid w:val="00AF2FD3"/>
    <w:rsid w:val="00B00755"/>
    <w:rsid w:val="00B01B89"/>
    <w:rsid w:val="00B04560"/>
    <w:rsid w:val="00B106A4"/>
    <w:rsid w:val="00B117AB"/>
    <w:rsid w:val="00B11A50"/>
    <w:rsid w:val="00B11F9E"/>
    <w:rsid w:val="00B131A1"/>
    <w:rsid w:val="00B21576"/>
    <w:rsid w:val="00B311B2"/>
    <w:rsid w:val="00B3249F"/>
    <w:rsid w:val="00B329AF"/>
    <w:rsid w:val="00B54B97"/>
    <w:rsid w:val="00B61F17"/>
    <w:rsid w:val="00B733C2"/>
    <w:rsid w:val="00B85829"/>
    <w:rsid w:val="00B86791"/>
    <w:rsid w:val="00B87085"/>
    <w:rsid w:val="00B92713"/>
    <w:rsid w:val="00B96AC0"/>
    <w:rsid w:val="00BA4AED"/>
    <w:rsid w:val="00BA6536"/>
    <w:rsid w:val="00BA67AC"/>
    <w:rsid w:val="00BC009B"/>
    <w:rsid w:val="00BC0F54"/>
    <w:rsid w:val="00BC1998"/>
    <w:rsid w:val="00BC3985"/>
    <w:rsid w:val="00BC5557"/>
    <w:rsid w:val="00BC7CB5"/>
    <w:rsid w:val="00BD1F8F"/>
    <w:rsid w:val="00BD553A"/>
    <w:rsid w:val="00BE1FED"/>
    <w:rsid w:val="00BF6C5B"/>
    <w:rsid w:val="00C004DD"/>
    <w:rsid w:val="00C073F9"/>
    <w:rsid w:val="00C07F09"/>
    <w:rsid w:val="00C22F80"/>
    <w:rsid w:val="00C2501C"/>
    <w:rsid w:val="00C31797"/>
    <w:rsid w:val="00C356BC"/>
    <w:rsid w:val="00C43288"/>
    <w:rsid w:val="00C45E2D"/>
    <w:rsid w:val="00C47642"/>
    <w:rsid w:val="00C51050"/>
    <w:rsid w:val="00C52818"/>
    <w:rsid w:val="00C55AB8"/>
    <w:rsid w:val="00C63CA3"/>
    <w:rsid w:val="00C70350"/>
    <w:rsid w:val="00C86C61"/>
    <w:rsid w:val="00C8725B"/>
    <w:rsid w:val="00C91087"/>
    <w:rsid w:val="00C9413F"/>
    <w:rsid w:val="00C94AA6"/>
    <w:rsid w:val="00CA04E4"/>
    <w:rsid w:val="00CA0B48"/>
    <w:rsid w:val="00CA32BA"/>
    <w:rsid w:val="00CA4609"/>
    <w:rsid w:val="00CB00DA"/>
    <w:rsid w:val="00CB1A51"/>
    <w:rsid w:val="00CB280D"/>
    <w:rsid w:val="00CB4A33"/>
    <w:rsid w:val="00CB4B9D"/>
    <w:rsid w:val="00CB5825"/>
    <w:rsid w:val="00CB5E87"/>
    <w:rsid w:val="00CD4B5E"/>
    <w:rsid w:val="00CE32CD"/>
    <w:rsid w:val="00CE6435"/>
    <w:rsid w:val="00CE791D"/>
    <w:rsid w:val="00CF174B"/>
    <w:rsid w:val="00CF6DCE"/>
    <w:rsid w:val="00D11521"/>
    <w:rsid w:val="00D1392C"/>
    <w:rsid w:val="00D21C64"/>
    <w:rsid w:val="00D21E3A"/>
    <w:rsid w:val="00D31863"/>
    <w:rsid w:val="00D31FC5"/>
    <w:rsid w:val="00D34B7B"/>
    <w:rsid w:val="00D37956"/>
    <w:rsid w:val="00D4683F"/>
    <w:rsid w:val="00D50230"/>
    <w:rsid w:val="00D5781F"/>
    <w:rsid w:val="00D61442"/>
    <w:rsid w:val="00D631D2"/>
    <w:rsid w:val="00D665E1"/>
    <w:rsid w:val="00D70952"/>
    <w:rsid w:val="00D72663"/>
    <w:rsid w:val="00D74A85"/>
    <w:rsid w:val="00D75946"/>
    <w:rsid w:val="00D913C1"/>
    <w:rsid w:val="00D967AF"/>
    <w:rsid w:val="00D96EEE"/>
    <w:rsid w:val="00DA0C66"/>
    <w:rsid w:val="00DA7322"/>
    <w:rsid w:val="00DD15EA"/>
    <w:rsid w:val="00DD3917"/>
    <w:rsid w:val="00E10204"/>
    <w:rsid w:val="00E21FB5"/>
    <w:rsid w:val="00E26272"/>
    <w:rsid w:val="00E36C84"/>
    <w:rsid w:val="00E45A92"/>
    <w:rsid w:val="00E46E80"/>
    <w:rsid w:val="00E4726D"/>
    <w:rsid w:val="00E508AD"/>
    <w:rsid w:val="00E55732"/>
    <w:rsid w:val="00E55E43"/>
    <w:rsid w:val="00E55EB0"/>
    <w:rsid w:val="00E60745"/>
    <w:rsid w:val="00E6338B"/>
    <w:rsid w:val="00E670E4"/>
    <w:rsid w:val="00E74230"/>
    <w:rsid w:val="00E75282"/>
    <w:rsid w:val="00E77BBC"/>
    <w:rsid w:val="00E8407F"/>
    <w:rsid w:val="00E8473A"/>
    <w:rsid w:val="00E85677"/>
    <w:rsid w:val="00E87FDB"/>
    <w:rsid w:val="00E93B69"/>
    <w:rsid w:val="00E97B53"/>
    <w:rsid w:val="00EA0FE0"/>
    <w:rsid w:val="00EA16F6"/>
    <w:rsid w:val="00EA23B7"/>
    <w:rsid w:val="00EB4218"/>
    <w:rsid w:val="00EB5016"/>
    <w:rsid w:val="00EB5A74"/>
    <w:rsid w:val="00EC3E8B"/>
    <w:rsid w:val="00EC45AD"/>
    <w:rsid w:val="00EC5510"/>
    <w:rsid w:val="00EC795B"/>
    <w:rsid w:val="00ED67A1"/>
    <w:rsid w:val="00EE0ECC"/>
    <w:rsid w:val="00EE1455"/>
    <w:rsid w:val="00EF0F68"/>
    <w:rsid w:val="00EF1C91"/>
    <w:rsid w:val="00F03676"/>
    <w:rsid w:val="00F051CB"/>
    <w:rsid w:val="00F07D34"/>
    <w:rsid w:val="00F13DCD"/>
    <w:rsid w:val="00F17934"/>
    <w:rsid w:val="00F50FCB"/>
    <w:rsid w:val="00F5189B"/>
    <w:rsid w:val="00F56258"/>
    <w:rsid w:val="00F626B6"/>
    <w:rsid w:val="00F82022"/>
    <w:rsid w:val="00F854B1"/>
    <w:rsid w:val="00F92A86"/>
    <w:rsid w:val="00F957A2"/>
    <w:rsid w:val="00FB03A9"/>
    <w:rsid w:val="00FB36BF"/>
    <w:rsid w:val="00FB5EBE"/>
    <w:rsid w:val="00FC5125"/>
    <w:rsid w:val="00FC7268"/>
    <w:rsid w:val="00FD59EE"/>
    <w:rsid w:val="00FE1C3B"/>
    <w:rsid w:val="00FE1DDB"/>
    <w:rsid w:val="00FE3F7A"/>
    <w:rsid w:val="00FF1FB9"/>
    <w:rsid w:val="00FF630F"/>
    <w:rsid w:val="00FF65B9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E9F8"/>
  <w15:docId w15:val="{333BDBEA-38C8-4387-8995-39B6ECC7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961FBEC584C84EA950287801D070B4" ma:contentTypeVersion="13" ma:contentTypeDescription="Vytvoří nový dokument" ma:contentTypeScope="" ma:versionID="b671a2942512880c92e42223acc38380">
  <xsd:schema xmlns:xsd="http://www.w3.org/2001/XMLSchema" xmlns:xs="http://www.w3.org/2001/XMLSchema" xmlns:p="http://schemas.microsoft.com/office/2006/metadata/properties" xmlns:ns3="fa4e4678-c184-4293-b9ac-e4816ee1ab10" xmlns:ns4="0c47281e-a76c-4e76-9c4e-609c0a6dcae9" targetNamespace="http://schemas.microsoft.com/office/2006/metadata/properties" ma:root="true" ma:fieldsID="0211635d66550b9cfaa164fbca6eac0a" ns3:_="" ns4:_="">
    <xsd:import namespace="fa4e4678-c184-4293-b9ac-e4816ee1ab10"/>
    <xsd:import namespace="0c47281e-a76c-4e76-9c4e-609c0a6dc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e4678-c184-4293-b9ac-e4816ee1a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281e-a76c-4e76-9c4e-609c0a6dc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F4E91-4DC3-4F82-B8C9-1C8F82F7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e4678-c184-4293-b9ac-e4816ee1ab10"/>
    <ds:schemaRef ds:uri="0c47281e-a76c-4e76-9c4e-609c0a6dc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Straškrabová</dc:creator>
  <cp:lastModifiedBy>Ondřej Vala</cp:lastModifiedBy>
  <cp:revision>2</cp:revision>
  <dcterms:created xsi:type="dcterms:W3CDTF">2020-05-12T10:21:00Z</dcterms:created>
  <dcterms:modified xsi:type="dcterms:W3CDTF">2020-05-12T10:21:00Z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0x01010038961FBEC584C84EA950287801D070B4</vt:lpwstr>
  </property>
</Properties>
</file>