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7E090" w14:textId="15AB8AEF" w:rsidR="00E75282" w:rsidRPr="00E75282" w:rsidRDefault="00E75282" w:rsidP="00E75282">
      <w:pPr>
        <w:pBdr>
          <w:top w:val="none" w:sz="0" w:space="0" w:color="auto"/>
          <w:left w:val="none" w:sz="0" w:space="0" w:color="auto"/>
          <w:bottom w:val="none" w:sz="0" w:space="0" w:color="auto"/>
          <w:right w:val="none" w:sz="0" w:space="0" w:color="auto"/>
          <w:between w:val="none" w:sz="0" w:space="0" w:color="auto"/>
          <w:bar w:val="none" w:sz="0" w:color="auto"/>
        </w:pBdr>
        <w:tabs>
          <w:tab w:val="right" w:pos="9638"/>
        </w:tabs>
        <w:spacing w:after="160" w:line="259" w:lineRule="auto"/>
        <w:rPr>
          <w:rFonts w:ascii="Calibri" w:eastAsia="Calibri" w:hAnsi="Calibri" w:cs="Calibri"/>
          <w:b/>
          <w:bdr w:val="none" w:sz="0" w:space="0" w:color="auto"/>
        </w:rPr>
      </w:pPr>
      <w:bookmarkStart w:id="0" w:name="_GoBack"/>
      <w:bookmarkEnd w:id="0"/>
      <w:r>
        <w:rPr>
          <w:rFonts w:ascii="Calibri" w:hAnsi="Calibri"/>
          <w:b/>
          <w:bdr w:val="none" w:sz="0" w:space="0" w:color="auto"/>
        </w:rPr>
        <w:t>Press Release</w:t>
      </w:r>
      <w:r>
        <w:rPr>
          <w:rFonts w:ascii="Calibri" w:hAnsi="Calibri"/>
          <w:b/>
          <w:bdr w:val="none" w:sz="0" w:space="0" w:color="auto"/>
        </w:rPr>
        <w:tab/>
        <w:t>12 May 2020</w:t>
      </w:r>
    </w:p>
    <w:p w14:paraId="742ECDD9" w14:textId="77777777" w:rsidR="00E75282" w:rsidRPr="00E75282" w:rsidRDefault="00E75282" w:rsidP="00E7528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b/>
          <w:sz w:val="28"/>
          <w:szCs w:val="28"/>
          <w:bdr w:val="none" w:sz="0" w:space="0" w:color="auto"/>
          <w:lang w:val="cs-CZ"/>
        </w:rPr>
      </w:pPr>
    </w:p>
    <w:p w14:paraId="4071B707" w14:textId="77777777" w:rsidR="00EA0FE0" w:rsidRPr="00EA0FE0" w:rsidRDefault="00EA0FE0" w:rsidP="00EA0FE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b/>
          <w:sz w:val="28"/>
          <w:szCs w:val="28"/>
          <w:bdr w:val="none" w:sz="0" w:space="0" w:color="auto"/>
        </w:rPr>
      </w:pPr>
      <w:r>
        <w:rPr>
          <w:rFonts w:ascii="Calibri" w:hAnsi="Calibri"/>
          <w:b/>
          <w:sz w:val="28"/>
          <w:szCs w:val="28"/>
          <w:bdr w:val="none" w:sz="0" w:space="0" w:color="auto"/>
        </w:rPr>
        <w:t>Contera refinances lines of credit, obtains resources for further development</w:t>
      </w:r>
    </w:p>
    <w:p w14:paraId="13683888" w14:textId="11B7707D" w:rsidR="00EA0FE0" w:rsidRPr="00EA0FE0" w:rsidRDefault="00EA0FE0" w:rsidP="00EA0FE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
          <w:bCs/>
          <w:bdr w:val="none" w:sz="0" w:space="0" w:color="auto"/>
        </w:rPr>
      </w:pPr>
      <w:r>
        <w:rPr>
          <w:rFonts w:ascii="Calibri" w:hAnsi="Calibri"/>
          <w:b/>
          <w:bCs/>
          <w:bdr w:val="none" w:sz="0" w:space="0" w:color="auto"/>
        </w:rPr>
        <w:t>Contera has received a syndicated line of credit from ČSOB and Komerční banka in the total amount of EUR 155 million. Its greater part consists of funds for refinancing a portfolio of modern warehouses and production facilities in the Czech Republic and Slovakia, which as part of the CTRE Fund is owned and operated by Contera along with U.S. investment firm TPG Capital. The other part is intended for development of new projects.</w:t>
      </w:r>
    </w:p>
    <w:p w14:paraId="255762C8" w14:textId="00C38D2E" w:rsidR="002F0F36" w:rsidRPr="00EA0FE0" w:rsidRDefault="002F0F36" w:rsidP="002F0F3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dr w:val="none" w:sz="0" w:space="0" w:color="auto"/>
        </w:rPr>
      </w:pPr>
      <w:r>
        <w:rPr>
          <w:rFonts w:ascii="Calibri" w:hAnsi="Calibri"/>
          <w:i/>
          <w:iCs/>
          <w:bdr w:val="none" w:sz="0" w:space="0" w:color="auto"/>
        </w:rPr>
        <w:t>“We have been working intensively on new credit terms since last autumn, and we consider it a huge success as well as an expression of trust in our Company's vision that we have completed everything during such a demanding and complicated period for everyone. Thanks to the refinancing of our previous lines of credit, we have been given terms that provide us with stability. We have also received financing for the development of our new projects,”</w:t>
      </w:r>
      <w:r>
        <w:rPr>
          <w:rFonts w:ascii="Calibri" w:hAnsi="Calibri"/>
          <w:bdr w:val="none" w:sz="0" w:space="0" w:color="auto"/>
        </w:rPr>
        <w:t xml:space="preserve"> says Dušan Kastl, Partner and Executive Director of Contera.</w:t>
      </w:r>
    </w:p>
    <w:p w14:paraId="5429195A" w14:textId="7651EA52" w:rsidR="00EA0FE0" w:rsidRDefault="00EA0FE0" w:rsidP="00EA0FE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dr w:val="none" w:sz="0" w:space="0" w:color="auto"/>
        </w:rPr>
      </w:pPr>
      <w:r>
        <w:rPr>
          <w:rFonts w:ascii="Calibri" w:hAnsi="Calibri"/>
          <w:bdr w:val="none" w:sz="0" w:space="0" w:color="auto"/>
        </w:rPr>
        <w:t>Contera has consolidated its existing lines of credits and has also received a credit framework in a volume of several tens of millions Euro, which it can draw in the next three years if it needs financing for further development, particularly at the brownfield in Hrušov (Contera Park Ostrava D1) and on the land in Hustopeče near Brno (Contera Park Hustopeče). Contera acquired approximately 80,000 square metres of land intended for industrial development within Hustopeče in February of this year.</w:t>
      </w:r>
    </w:p>
    <w:p w14:paraId="3F974C11" w14:textId="066B12E1" w:rsidR="00B61F17" w:rsidRPr="00EA0FE0" w:rsidRDefault="00B87085" w:rsidP="00EA0FE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dr w:val="none" w:sz="0" w:space="0" w:color="auto"/>
        </w:rPr>
      </w:pPr>
      <w:r>
        <w:rPr>
          <w:rFonts w:ascii="Calibri" w:hAnsi="Calibri"/>
          <w:i/>
          <w:iCs/>
          <w:bdr w:val="none" w:sz="0" w:space="0" w:color="auto"/>
        </w:rPr>
        <w:t>“The consolidation of partial lines of credit from various sectors, segments and locations into a single good risk-diversified real estate portfolio has proven to be a good strategy and a sufficient reinforcement of creditworthiness for obtaining lucrative development financing. We are using these resources with maximum consideration and effectiveness,”</w:t>
      </w:r>
      <w:r>
        <w:rPr>
          <w:rFonts w:ascii="Calibri" w:hAnsi="Calibri"/>
          <w:bdr w:val="none" w:sz="0" w:space="0" w:color="auto"/>
        </w:rPr>
        <w:t xml:space="preserve"> says Daniela Fraňková, the Company’s Chief Financial Officer.  </w:t>
      </w:r>
    </w:p>
    <w:p w14:paraId="3A762D91" w14:textId="61717A5E" w:rsidR="00EA0FE0" w:rsidRDefault="00B311B2" w:rsidP="00EA0FE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dr w:val="none" w:sz="0" w:space="0" w:color="auto"/>
        </w:rPr>
      </w:pPr>
      <w:r>
        <w:rPr>
          <w:rFonts w:ascii="Calibri" w:hAnsi="Calibri"/>
          <w:bdr w:val="none" w:sz="0" w:space="0" w:color="auto"/>
        </w:rPr>
        <w:t>The portfolio of CTRE Fund, a joint venture of Contera and TPG, includes business parks with a developed area of 257,400 square metres with the option of an additional 196,600 square metre expansion. The portfolio consists of the following Contera Parks in the Czech Republic: Hustopeče, Mošnov, Ostrava City, Ostrava D1 and Teplice; and in Slovakia: Bratislava, Prešov and Svätý Jur.</w:t>
      </w:r>
    </w:p>
    <w:p w14:paraId="52AA871D" w14:textId="61930D48" w:rsidR="00EA0FE0" w:rsidRDefault="00B61F17" w:rsidP="00EA0FE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iCs/>
          <w:bdr w:val="none" w:sz="0" w:space="0" w:color="auto"/>
        </w:rPr>
      </w:pPr>
      <w:r>
        <w:rPr>
          <w:rFonts w:ascii="Calibri" w:hAnsi="Calibri"/>
          <w:iCs/>
          <w:bdr w:val="none" w:sz="0" w:space="0" w:color="auto"/>
        </w:rPr>
        <w:t>Legal affairs have been handled by the Baker McKenzie Law Firm in cooperation with the White &amp; Case Law Firm.</w:t>
      </w:r>
    </w:p>
    <w:p w14:paraId="06CAE13A" w14:textId="34559878" w:rsidR="00EA0FE0" w:rsidRDefault="00EA0FE0" w:rsidP="00EA0FE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sz w:val="8"/>
          <w:szCs w:val="8"/>
          <w:bdr w:val="none" w:sz="0" w:space="0" w:color="auto"/>
          <w:lang w:val="cs-CZ"/>
        </w:rPr>
      </w:pPr>
    </w:p>
    <w:p w14:paraId="52C712D4" w14:textId="587177C3" w:rsidR="008D2AB1" w:rsidRDefault="008D2AB1" w:rsidP="00EA0FE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sz w:val="8"/>
          <w:szCs w:val="8"/>
          <w:bdr w:val="none" w:sz="0" w:space="0" w:color="auto"/>
          <w:lang w:val="cs-CZ"/>
        </w:rPr>
      </w:pPr>
    </w:p>
    <w:p w14:paraId="140C5147" w14:textId="77777777" w:rsidR="008D2AB1" w:rsidRPr="00784DBC" w:rsidRDefault="008D2AB1" w:rsidP="00EA0FE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sz w:val="8"/>
          <w:szCs w:val="8"/>
          <w:bdr w:val="none" w:sz="0" w:space="0" w:color="auto"/>
          <w:lang w:val="cs-CZ"/>
        </w:rPr>
      </w:pPr>
    </w:p>
    <w:p w14:paraId="0D382458" w14:textId="77777777" w:rsidR="003A568F" w:rsidRPr="006C6526" w:rsidRDefault="003A568F" w:rsidP="00E45A92">
      <w:pPr>
        <w:pStyle w:val="Zpat"/>
        <w:tabs>
          <w:tab w:val="clear" w:pos="4536"/>
          <w:tab w:val="clear" w:pos="9072"/>
          <w:tab w:val="left" w:pos="284"/>
          <w:tab w:val="left" w:pos="7088"/>
          <w:tab w:val="left" w:pos="7371"/>
        </w:tabs>
        <w:rPr>
          <w:rFonts w:ascii="Calibri" w:hAnsi="Calibri" w:cs="Calibri"/>
          <w:b/>
          <w:lang w:val="cs-CZ"/>
        </w:rPr>
      </w:pPr>
      <w:r>
        <w:rPr>
          <w:rFonts w:ascii="Calibri" w:hAnsi="Calibri"/>
          <w:b/>
          <w:noProof/>
        </w:rPr>
        <mc:AlternateContent>
          <mc:Choice Requires="wps">
            <w:drawing>
              <wp:anchor distT="0" distB="0" distL="114300" distR="114300" simplePos="0" relativeHeight="251659264" behindDoc="0" locked="0" layoutInCell="1" allowOverlap="1" wp14:anchorId="6E468A50" wp14:editId="233512D4">
                <wp:simplePos x="0" y="0"/>
                <wp:positionH relativeFrom="column">
                  <wp:posOffset>-358140</wp:posOffset>
                </wp:positionH>
                <wp:positionV relativeFrom="paragraph">
                  <wp:posOffset>-96520</wp:posOffset>
                </wp:positionV>
                <wp:extent cx="6840000" cy="0"/>
                <wp:effectExtent l="0" t="0" r="0" b="0"/>
                <wp:wrapNone/>
                <wp:docPr id="35" name="Přímá spojnice 35"/>
                <wp:cNvGraphicFramePr/>
                <a:graphic xmlns:a="http://schemas.openxmlformats.org/drawingml/2006/main">
                  <a:graphicData uri="http://schemas.microsoft.com/office/word/2010/wordprocessingShape">
                    <wps:wsp>
                      <wps:cNvCnPr/>
                      <wps:spPr>
                        <a:xfrm>
                          <a:off x="0" y="0"/>
                          <a:ext cx="6840000" cy="0"/>
                        </a:xfrm>
                        <a:prstGeom prst="line">
                          <a:avLst/>
                        </a:prstGeom>
                        <a:ln w="12700">
                          <a:solidFill>
                            <a:srgbClr val="C4CB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587D9D" id="Přímá spojnice 3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2pt,-7.6pt" to="510.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" strokecolor="#c4cb2b" strokeweight="1pt"/>
            </w:pict>
          </mc:Fallback>
        </mc:AlternateContent>
      </w:r>
      <w:r w:rsidRPr="006C6526">
        <w:rPr>
          <w:rFonts w:ascii="Calibri" w:hAnsi="Calibri"/>
          <w:b/>
          <w:lang w:val="cs-CZ"/>
        </w:rPr>
        <w:t>Media Contact Person</w:t>
      </w:r>
    </w:p>
    <w:p w14:paraId="6C005E30" w14:textId="3ADBB5E8" w:rsidR="00D5781F" w:rsidRPr="006C6526" w:rsidRDefault="00AE5E42" w:rsidP="00E45A92">
      <w:pPr>
        <w:pStyle w:val="Zpat"/>
        <w:tabs>
          <w:tab w:val="clear" w:pos="4536"/>
          <w:tab w:val="clear" w:pos="9072"/>
          <w:tab w:val="left" w:pos="284"/>
          <w:tab w:val="left" w:pos="7088"/>
          <w:tab w:val="left" w:pos="7371"/>
        </w:tabs>
        <w:rPr>
          <w:rFonts w:ascii="Calibri" w:hAnsi="Calibri" w:cs="Calibri"/>
          <w:lang w:val="cs-CZ"/>
        </w:rPr>
      </w:pPr>
      <w:r w:rsidRPr="006C6526">
        <w:rPr>
          <w:rFonts w:ascii="Calibri" w:hAnsi="Calibri"/>
          <w:lang w:val="cs-CZ"/>
        </w:rPr>
        <w:t>Erika Straškrabová</w:t>
      </w:r>
      <w:r w:rsidRPr="006C6526">
        <w:rPr>
          <w:rFonts w:ascii="Calibri" w:hAnsi="Calibri"/>
          <w:lang w:val="cs-CZ"/>
        </w:rPr>
        <w:tab/>
      </w:r>
    </w:p>
    <w:p w14:paraId="4BC0C1F8" w14:textId="77B1941E" w:rsidR="000C3742" w:rsidRPr="006C6526" w:rsidRDefault="00AE5E42" w:rsidP="00E45A92">
      <w:pPr>
        <w:pStyle w:val="Zpat"/>
        <w:tabs>
          <w:tab w:val="clear" w:pos="4536"/>
          <w:tab w:val="clear" w:pos="9072"/>
          <w:tab w:val="left" w:pos="426"/>
          <w:tab w:val="left" w:pos="7088"/>
          <w:tab w:val="left" w:pos="7371"/>
        </w:tabs>
        <w:rPr>
          <w:rFonts w:ascii="Calibri" w:hAnsi="Calibri" w:cs="Calibri"/>
          <w:lang w:val="cs-CZ"/>
        </w:rPr>
      </w:pPr>
      <w:r w:rsidRPr="006C6526">
        <w:rPr>
          <w:rFonts w:ascii="Calibri" w:hAnsi="Calibri"/>
          <w:lang w:val="cs-CZ"/>
        </w:rPr>
        <w:t>Marketing &amp; PR Manager</w:t>
      </w:r>
    </w:p>
    <w:p w14:paraId="06E5C927" w14:textId="510FF661" w:rsidR="00D5781F" w:rsidRPr="00E45A92" w:rsidRDefault="00EC45AD" w:rsidP="00E45A92">
      <w:pPr>
        <w:pStyle w:val="Zpat"/>
        <w:tabs>
          <w:tab w:val="clear" w:pos="4536"/>
          <w:tab w:val="clear" w:pos="9072"/>
          <w:tab w:val="left" w:pos="426"/>
          <w:tab w:val="left" w:pos="7088"/>
          <w:tab w:val="left" w:pos="7371"/>
        </w:tabs>
        <w:rPr>
          <w:rFonts w:ascii="Calibri" w:hAnsi="Calibri" w:cs="Calibri"/>
        </w:rPr>
      </w:pPr>
      <w:r>
        <w:rPr>
          <w:rFonts w:ascii="Calibri" w:hAnsi="Calibri"/>
        </w:rPr>
        <w:t>Mobile phone number: +420 732 915 226</w:t>
      </w:r>
      <w:r>
        <w:rPr>
          <w:rFonts w:ascii="Calibri" w:hAnsi="Calibri"/>
        </w:rPr>
        <w:tab/>
      </w:r>
    </w:p>
    <w:p w14:paraId="3FB2B94A" w14:textId="5EC6C89F" w:rsidR="00C45E2D" w:rsidRDefault="00EC45AD" w:rsidP="00E45A92">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rPr>
          <w:rFonts w:ascii="Calibri" w:hAnsi="Calibri" w:cs="Calibri"/>
        </w:rPr>
      </w:pPr>
      <w:r>
        <w:rPr>
          <w:rFonts w:ascii="Calibri" w:hAnsi="Calibri"/>
        </w:rPr>
        <w:t>E-mail address: erika.straskrabova@contera.cz</w:t>
      </w:r>
    </w:p>
    <w:p w14:paraId="4274521A" w14:textId="77777777" w:rsidR="00E45A92" w:rsidRPr="00E45A92" w:rsidRDefault="00E45A92" w:rsidP="00E45A92">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rPr>
          <w:rFonts w:ascii="Calibri" w:eastAsia="Calibri" w:hAnsi="Calibri" w:cs="Calibri"/>
          <w:bdr w:val="none" w:sz="0" w:space="0" w:color="auto"/>
          <w:lang w:val="cs-CZ"/>
        </w:rPr>
      </w:pPr>
    </w:p>
    <w:p w14:paraId="6DC4E9F8" w14:textId="6BD99F68" w:rsidR="00FB36BF" w:rsidRPr="00A54DFA" w:rsidRDefault="00E75282" w:rsidP="00E75282">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Light"/>
          <w:i/>
          <w:color w:val="808080" w:themeColor="background1" w:themeShade="80"/>
          <w:sz w:val="20"/>
          <w:szCs w:val="20"/>
          <w:bdr w:val="none" w:sz="0" w:space="0" w:color="auto"/>
        </w:rPr>
      </w:pPr>
      <w:r>
        <w:rPr>
          <w:rFonts w:ascii="Calibri Light" w:hAnsi="Calibri Light"/>
          <w:i/>
          <w:color w:val="808080" w:themeColor="background1" w:themeShade="80"/>
          <w:sz w:val="20"/>
          <w:szCs w:val="20"/>
          <w:bdr w:val="none" w:sz="0" w:space="0" w:color="auto"/>
        </w:rPr>
        <w:t>Founded in 2009, Contera owns and operates industrial parks in first-class locations within the Czech Republic (Brno, Ostrava, Prague, Teplice) and Slovakia (Bratislava, Prešov). Contera's portfolio provides clients with leasing opportunities and build-to-suit solutions. The Company specialises in the reconstruction and revitalisation of unused facilities (brownfields) in locations with good infrastructure, while placing emphasis on harmony between its parks and the surrounding environment. Contera's portfolio includes approximately 354,000 square metres in existing properties and 245,200 square metres in planned industrial properties. In 2019 Contera established a joint venture with TPG Real Estate Partners, a specialised property investment platform owned by the global alternative asset firm TPG. In 2019, Contera entered the Slovak market.</w:t>
      </w:r>
    </w:p>
    <w:sectPr w:rsidR="00FB36BF" w:rsidRPr="00A54DFA">
      <w:headerReference w:type="default" r:id="rId10"/>
      <w:footerReference w:type="default" r:id="rId11"/>
      <w:pgSz w:w="11900" w:h="16840"/>
      <w:pgMar w:top="2551" w:right="1708" w:bottom="2104" w:left="1842" w:header="615"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21E4B" w14:textId="77777777" w:rsidR="000B174F" w:rsidRDefault="000B174F">
      <w:r>
        <w:separator/>
      </w:r>
    </w:p>
  </w:endnote>
  <w:endnote w:type="continuationSeparator" w:id="0">
    <w:p w14:paraId="2F2B9282" w14:textId="77777777" w:rsidR="000B174F" w:rsidRDefault="000B174F">
      <w:r>
        <w:continuationSeparator/>
      </w:r>
    </w:p>
  </w:endnote>
  <w:endnote w:type="continuationNotice" w:id="1">
    <w:p w14:paraId="60FF284A" w14:textId="77777777" w:rsidR="000B174F" w:rsidRDefault="000B17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Segoe UI">
    <w:altName w:val="Calibri"/>
    <w:panose1 w:val="020B0502040204020203"/>
    <w:charset w:val="EE"/>
    <w:family w:val="swiss"/>
    <w:pitch w:val="variable"/>
    <w:sig w:usb0="E4002EFF" w:usb1="C000E47F" w:usb2="00000009" w:usb3="00000000" w:csb0="000001FF" w:csb1="00000000"/>
  </w:font>
  <w:font w:name="Montserrat">
    <w:altName w:val="Montserrat"/>
    <w:charset w:val="00"/>
    <w:family w:val="auto"/>
    <w:pitch w:val="variable"/>
    <w:sig w:usb0="20000007" w:usb1="00000001" w:usb2="00000000" w:usb3="00000000" w:csb0="00000193"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Montserrat Bold">
    <w:altName w:val="Cambria"/>
    <w:charset w:val="00"/>
    <w:family w:val="auto"/>
    <w:pitch w:val="variable"/>
    <w:sig w:usb0="20000007" w:usb1="00000001" w:usb2="00000000" w:usb3="00000000" w:csb0="00000193" w:csb1="00000000"/>
  </w:font>
  <w:font w:name="Montserrat Regular">
    <w:altName w:val="Cambria"/>
    <w:charset w:val="00"/>
    <w:family w:val="auto"/>
    <w:pitch w:val="variable"/>
    <w:sig w:usb0="20000007" w:usb1="00000001" w:usb2="00000000" w:usb3="00000000" w:csb0="00000193"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4E9FE" w14:textId="77777777" w:rsidR="00FB36BF" w:rsidRPr="006C6526" w:rsidRDefault="00CF174B">
    <w:pPr>
      <w:pStyle w:val="TextA"/>
      <w:spacing w:before="0" w:after="120" w:line="240" w:lineRule="auto"/>
      <w:rPr>
        <w:rFonts w:ascii="Montserrat Regular" w:eastAsia="Montserrat Regular" w:hAnsi="Montserrat Regular" w:cs="Montserrat Regular"/>
        <w:color w:val="000000"/>
        <w:sz w:val="14"/>
        <w:szCs w:val="14"/>
        <w:u w:color="000000"/>
        <w:lang w:val="pt-PT"/>
      </w:rPr>
    </w:pPr>
    <w:r w:rsidRPr="006C6526">
      <w:rPr>
        <w:rFonts w:ascii="Montserrat Bold" w:hAnsi="Montserrat Bold"/>
        <w:color w:val="000000"/>
        <w:sz w:val="14"/>
        <w:szCs w:val="14"/>
        <w:u w:color="000000"/>
        <w:lang w:val="pt-PT"/>
      </w:rPr>
      <w:t>CONTERA Management s.r.o.</w:t>
    </w:r>
    <w:r w:rsidRPr="006C6526">
      <w:rPr>
        <w:rFonts w:ascii="Montserrat Regular" w:hAnsi="Montserrat Regular"/>
        <w:color w:val="000000"/>
        <w:sz w:val="14"/>
        <w:szCs w:val="14"/>
        <w:u w:color="000000"/>
        <w:lang w:val="pt-PT"/>
      </w:rPr>
      <w:t>, Na Strži 1702/65, 140 00 Prague 4, Company ID No.: 28573510</w:t>
    </w:r>
  </w:p>
  <w:p w14:paraId="6DC4E9FF" w14:textId="77777777" w:rsidR="00FB36BF" w:rsidRDefault="00CF174B">
    <w:pPr>
      <w:pStyle w:val="TextA"/>
      <w:spacing w:before="0" w:after="120" w:line="240" w:lineRule="auto"/>
    </w:pPr>
    <w:r>
      <w:rPr>
        <w:rFonts w:ascii="Montserrat Regular" w:hAnsi="Montserrat Regular"/>
        <w:color w:val="000000"/>
        <w:sz w:val="14"/>
        <w:szCs w:val="14"/>
        <w:u w:color="000000"/>
      </w:rPr>
      <w:t>Registered in the Commercial Register maintained by the Municipal Court in Prague, Section C, File 181670.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A768E" w14:textId="77777777" w:rsidR="000B174F" w:rsidRDefault="000B174F">
      <w:r>
        <w:separator/>
      </w:r>
    </w:p>
  </w:footnote>
  <w:footnote w:type="continuationSeparator" w:id="0">
    <w:p w14:paraId="6EDDD4AB" w14:textId="77777777" w:rsidR="000B174F" w:rsidRDefault="000B174F">
      <w:r>
        <w:continuationSeparator/>
      </w:r>
    </w:p>
  </w:footnote>
  <w:footnote w:type="continuationNotice" w:id="1">
    <w:p w14:paraId="31D8B298" w14:textId="77777777" w:rsidR="000B174F" w:rsidRDefault="000B17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4E9FD" w14:textId="77777777" w:rsidR="00FB36BF" w:rsidRDefault="00CF174B">
    <w:pPr>
      <w:pStyle w:val="TextA"/>
      <w:tabs>
        <w:tab w:val="center" w:pos="4536"/>
        <w:tab w:val="right" w:pos="8330"/>
      </w:tabs>
      <w:spacing w:before="0" w:after="0" w:line="240" w:lineRule="auto"/>
    </w:pPr>
    <w:r>
      <w:rPr>
        <w:noProof/>
      </w:rPr>
      <w:drawing>
        <wp:anchor distT="152400" distB="152400" distL="152400" distR="152400" simplePos="0" relativeHeight="251658240" behindDoc="1" locked="0" layoutInCell="1" allowOverlap="1" wp14:anchorId="6DC4EA00" wp14:editId="6DC4EA01">
          <wp:simplePos x="0" y="0"/>
          <wp:positionH relativeFrom="page">
            <wp:posOffset>521972</wp:posOffset>
          </wp:positionH>
          <wp:positionV relativeFrom="page">
            <wp:posOffset>504825</wp:posOffset>
          </wp:positionV>
          <wp:extent cx="1901813" cy="246217"/>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1901813" cy="246217"/>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90F4E"/>
    <w:multiLevelType w:val="hybridMultilevel"/>
    <w:tmpl w:val="B5A63C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6BF"/>
    <w:rsid w:val="000009BA"/>
    <w:rsid w:val="00002277"/>
    <w:rsid w:val="00025FB2"/>
    <w:rsid w:val="00033434"/>
    <w:rsid w:val="00040109"/>
    <w:rsid w:val="00045BFC"/>
    <w:rsid w:val="000514C8"/>
    <w:rsid w:val="0005459C"/>
    <w:rsid w:val="00057652"/>
    <w:rsid w:val="00062B3C"/>
    <w:rsid w:val="00066F5F"/>
    <w:rsid w:val="000714EE"/>
    <w:rsid w:val="00071620"/>
    <w:rsid w:val="00075261"/>
    <w:rsid w:val="00076773"/>
    <w:rsid w:val="00080A37"/>
    <w:rsid w:val="00083197"/>
    <w:rsid w:val="00083665"/>
    <w:rsid w:val="000A10C8"/>
    <w:rsid w:val="000A7627"/>
    <w:rsid w:val="000A7964"/>
    <w:rsid w:val="000B174F"/>
    <w:rsid w:val="000B54F2"/>
    <w:rsid w:val="000B68C6"/>
    <w:rsid w:val="000B6AA1"/>
    <w:rsid w:val="000B7164"/>
    <w:rsid w:val="000C3742"/>
    <w:rsid w:val="000C3C6A"/>
    <w:rsid w:val="000D0DE0"/>
    <w:rsid w:val="000D42A6"/>
    <w:rsid w:val="000D6EE0"/>
    <w:rsid w:val="000E0F4A"/>
    <w:rsid w:val="000E336C"/>
    <w:rsid w:val="000E7403"/>
    <w:rsid w:val="000E7784"/>
    <w:rsid w:val="000F1199"/>
    <w:rsid w:val="000F4E7F"/>
    <w:rsid w:val="000F57DD"/>
    <w:rsid w:val="00101E01"/>
    <w:rsid w:val="00115D2F"/>
    <w:rsid w:val="00131E11"/>
    <w:rsid w:val="00135B9E"/>
    <w:rsid w:val="001364E2"/>
    <w:rsid w:val="00140D2C"/>
    <w:rsid w:val="001473E2"/>
    <w:rsid w:val="00157006"/>
    <w:rsid w:val="00161767"/>
    <w:rsid w:val="00161850"/>
    <w:rsid w:val="00161A23"/>
    <w:rsid w:val="00174853"/>
    <w:rsid w:val="00193108"/>
    <w:rsid w:val="001944A6"/>
    <w:rsid w:val="0019780B"/>
    <w:rsid w:val="001A4243"/>
    <w:rsid w:val="001A45F4"/>
    <w:rsid w:val="001A4797"/>
    <w:rsid w:val="001B281B"/>
    <w:rsid w:val="001B2875"/>
    <w:rsid w:val="001C05B9"/>
    <w:rsid w:val="001C3DF3"/>
    <w:rsid w:val="001D1917"/>
    <w:rsid w:val="001D2183"/>
    <w:rsid w:val="001D29CB"/>
    <w:rsid w:val="001D4A45"/>
    <w:rsid w:val="001D5127"/>
    <w:rsid w:val="001E20A8"/>
    <w:rsid w:val="001E508A"/>
    <w:rsid w:val="001F1795"/>
    <w:rsid w:val="001F4576"/>
    <w:rsid w:val="001F47CF"/>
    <w:rsid w:val="00210264"/>
    <w:rsid w:val="00210F75"/>
    <w:rsid w:val="00213E69"/>
    <w:rsid w:val="00215A70"/>
    <w:rsid w:val="00217DFA"/>
    <w:rsid w:val="0022457A"/>
    <w:rsid w:val="002310C7"/>
    <w:rsid w:val="00232DB5"/>
    <w:rsid w:val="00234E48"/>
    <w:rsid w:val="002441CA"/>
    <w:rsid w:val="0025118E"/>
    <w:rsid w:val="00254CC2"/>
    <w:rsid w:val="00265B39"/>
    <w:rsid w:val="00276E53"/>
    <w:rsid w:val="002870C5"/>
    <w:rsid w:val="002A096B"/>
    <w:rsid w:val="002A1290"/>
    <w:rsid w:val="002B1767"/>
    <w:rsid w:val="002B2617"/>
    <w:rsid w:val="002B508D"/>
    <w:rsid w:val="002B5AF8"/>
    <w:rsid w:val="002C141F"/>
    <w:rsid w:val="002C4E27"/>
    <w:rsid w:val="002C5F21"/>
    <w:rsid w:val="002F0735"/>
    <w:rsid w:val="002F0F36"/>
    <w:rsid w:val="002F3026"/>
    <w:rsid w:val="002F7492"/>
    <w:rsid w:val="0030038A"/>
    <w:rsid w:val="00313677"/>
    <w:rsid w:val="00314697"/>
    <w:rsid w:val="003154FE"/>
    <w:rsid w:val="003306E2"/>
    <w:rsid w:val="0033310F"/>
    <w:rsid w:val="00340DA7"/>
    <w:rsid w:val="00344767"/>
    <w:rsid w:val="003511FD"/>
    <w:rsid w:val="00353DEE"/>
    <w:rsid w:val="00361043"/>
    <w:rsid w:val="003660D4"/>
    <w:rsid w:val="003729CB"/>
    <w:rsid w:val="00375C16"/>
    <w:rsid w:val="00390BD4"/>
    <w:rsid w:val="003955AE"/>
    <w:rsid w:val="003A568F"/>
    <w:rsid w:val="003B4479"/>
    <w:rsid w:val="003C2590"/>
    <w:rsid w:val="003C6888"/>
    <w:rsid w:val="003C79AE"/>
    <w:rsid w:val="003D3AA5"/>
    <w:rsid w:val="003D635A"/>
    <w:rsid w:val="003D6862"/>
    <w:rsid w:val="003E35C0"/>
    <w:rsid w:val="003E4D40"/>
    <w:rsid w:val="003E6313"/>
    <w:rsid w:val="003F65AF"/>
    <w:rsid w:val="004051EE"/>
    <w:rsid w:val="004057D3"/>
    <w:rsid w:val="00410650"/>
    <w:rsid w:val="0041475B"/>
    <w:rsid w:val="00416230"/>
    <w:rsid w:val="00432B3C"/>
    <w:rsid w:val="004465D2"/>
    <w:rsid w:val="00446E12"/>
    <w:rsid w:val="0046062D"/>
    <w:rsid w:val="00472EF7"/>
    <w:rsid w:val="004A730C"/>
    <w:rsid w:val="004A766F"/>
    <w:rsid w:val="004B4702"/>
    <w:rsid w:val="004C2FE2"/>
    <w:rsid w:val="004D6583"/>
    <w:rsid w:val="004E426D"/>
    <w:rsid w:val="004E45BC"/>
    <w:rsid w:val="004E48C5"/>
    <w:rsid w:val="00503143"/>
    <w:rsid w:val="00506988"/>
    <w:rsid w:val="00512E75"/>
    <w:rsid w:val="0051309A"/>
    <w:rsid w:val="00522319"/>
    <w:rsid w:val="00527BC9"/>
    <w:rsid w:val="005304E2"/>
    <w:rsid w:val="00536421"/>
    <w:rsid w:val="00541091"/>
    <w:rsid w:val="0054117D"/>
    <w:rsid w:val="00546902"/>
    <w:rsid w:val="00547A4A"/>
    <w:rsid w:val="0056786D"/>
    <w:rsid w:val="00574B8F"/>
    <w:rsid w:val="00580094"/>
    <w:rsid w:val="00581947"/>
    <w:rsid w:val="0059087A"/>
    <w:rsid w:val="00592D84"/>
    <w:rsid w:val="00596A51"/>
    <w:rsid w:val="005A2B74"/>
    <w:rsid w:val="005A5296"/>
    <w:rsid w:val="005A6C52"/>
    <w:rsid w:val="005B05A0"/>
    <w:rsid w:val="005B0612"/>
    <w:rsid w:val="005B0A9E"/>
    <w:rsid w:val="005B1EB8"/>
    <w:rsid w:val="005C197A"/>
    <w:rsid w:val="005D0B2A"/>
    <w:rsid w:val="005E2CA9"/>
    <w:rsid w:val="005F751D"/>
    <w:rsid w:val="00601781"/>
    <w:rsid w:val="0061758F"/>
    <w:rsid w:val="00626C00"/>
    <w:rsid w:val="00634A7A"/>
    <w:rsid w:val="006363CC"/>
    <w:rsid w:val="00654AF9"/>
    <w:rsid w:val="006553D7"/>
    <w:rsid w:val="00661E97"/>
    <w:rsid w:val="006623FC"/>
    <w:rsid w:val="00667879"/>
    <w:rsid w:val="00682F78"/>
    <w:rsid w:val="0068601B"/>
    <w:rsid w:val="006902B8"/>
    <w:rsid w:val="0069116D"/>
    <w:rsid w:val="006A6915"/>
    <w:rsid w:val="006A7053"/>
    <w:rsid w:val="006B23E4"/>
    <w:rsid w:val="006B3081"/>
    <w:rsid w:val="006B6987"/>
    <w:rsid w:val="006B7040"/>
    <w:rsid w:val="006C2DCE"/>
    <w:rsid w:val="006C6526"/>
    <w:rsid w:val="006D0EB3"/>
    <w:rsid w:val="006D4CB2"/>
    <w:rsid w:val="006D7496"/>
    <w:rsid w:val="006E3F73"/>
    <w:rsid w:val="006E7159"/>
    <w:rsid w:val="006F4399"/>
    <w:rsid w:val="00701C3B"/>
    <w:rsid w:val="00706A80"/>
    <w:rsid w:val="0071335B"/>
    <w:rsid w:val="00722692"/>
    <w:rsid w:val="00725093"/>
    <w:rsid w:val="00731645"/>
    <w:rsid w:val="00731AA5"/>
    <w:rsid w:val="0073418F"/>
    <w:rsid w:val="00735695"/>
    <w:rsid w:val="00736EE4"/>
    <w:rsid w:val="00737F89"/>
    <w:rsid w:val="0074770D"/>
    <w:rsid w:val="00756D6F"/>
    <w:rsid w:val="00757746"/>
    <w:rsid w:val="00762802"/>
    <w:rsid w:val="007718F5"/>
    <w:rsid w:val="00775C69"/>
    <w:rsid w:val="0077711F"/>
    <w:rsid w:val="007816DA"/>
    <w:rsid w:val="00783B16"/>
    <w:rsid w:val="00783FDF"/>
    <w:rsid w:val="00784DBC"/>
    <w:rsid w:val="007900D3"/>
    <w:rsid w:val="007929B5"/>
    <w:rsid w:val="00795763"/>
    <w:rsid w:val="007975D2"/>
    <w:rsid w:val="007A2D64"/>
    <w:rsid w:val="007D301E"/>
    <w:rsid w:val="007F0CBA"/>
    <w:rsid w:val="007F51E5"/>
    <w:rsid w:val="007F5F76"/>
    <w:rsid w:val="007F7A28"/>
    <w:rsid w:val="00803576"/>
    <w:rsid w:val="00815E4A"/>
    <w:rsid w:val="00816815"/>
    <w:rsid w:val="00816979"/>
    <w:rsid w:val="00822915"/>
    <w:rsid w:val="00822C2D"/>
    <w:rsid w:val="00832968"/>
    <w:rsid w:val="00832B85"/>
    <w:rsid w:val="00834124"/>
    <w:rsid w:val="00835277"/>
    <w:rsid w:val="008367C6"/>
    <w:rsid w:val="0085694E"/>
    <w:rsid w:val="00860D47"/>
    <w:rsid w:val="0086105D"/>
    <w:rsid w:val="0086360F"/>
    <w:rsid w:val="008652F3"/>
    <w:rsid w:val="008707F9"/>
    <w:rsid w:val="008948D9"/>
    <w:rsid w:val="008A0B29"/>
    <w:rsid w:val="008B1886"/>
    <w:rsid w:val="008C781A"/>
    <w:rsid w:val="008D0A57"/>
    <w:rsid w:val="008D2AB1"/>
    <w:rsid w:val="008E2E0D"/>
    <w:rsid w:val="008F4FD3"/>
    <w:rsid w:val="00900303"/>
    <w:rsid w:val="0090192F"/>
    <w:rsid w:val="009102D9"/>
    <w:rsid w:val="00930859"/>
    <w:rsid w:val="00931E4C"/>
    <w:rsid w:val="00936D7A"/>
    <w:rsid w:val="0093791A"/>
    <w:rsid w:val="0094355B"/>
    <w:rsid w:val="009470B6"/>
    <w:rsid w:val="009516E9"/>
    <w:rsid w:val="0095212B"/>
    <w:rsid w:val="009535D8"/>
    <w:rsid w:val="00954D2E"/>
    <w:rsid w:val="00964F33"/>
    <w:rsid w:val="00965D6B"/>
    <w:rsid w:val="00967068"/>
    <w:rsid w:val="00972E8B"/>
    <w:rsid w:val="00974880"/>
    <w:rsid w:val="00974D75"/>
    <w:rsid w:val="00980EC5"/>
    <w:rsid w:val="00985216"/>
    <w:rsid w:val="009872CC"/>
    <w:rsid w:val="0098799E"/>
    <w:rsid w:val="009924CD"/>
    <w:rsid w:val="00993040"/>
    <w:rsid w:val="009A5DBC"/>
    <w:rsid w:val="009A6739"/>
    <w:rsid w:val="009B60B5"/>
    <w:rsid w:val="009C589F"/>
    <w:rsid w:val="009D417B"/>
    <w:rsid w:val="009E3F7F"/>
    <w:rsid w:val="009E4E92"/>
    <w:rsid w:val="009E65C8"/>
    <w:rsid w:val="009F6EAF"/>
    <w:rsid w:val="00A11C63"/>
    <w:rsid w:val="00A20351"/>
    <w:rsid w:val="00A21ADF"/>
    <w:rsid w:val="00A267C8"/>
    <w:rsid w:val="00A32F12"/>
    <w:rsid w:val="00A5003F"/>
    <w:rsid w:val="00A5321E"/>
    <w:rsid w:val="00A54DFA"/>
    <w:rsid w:val="00A552C9"/>
    <w:rsid w:val="00A60511"/>
    <w:rsid w:val="00A642EB"/>
    <w:rsid w:val="00A76AC0"/>
    <w:rsid w:val="00A85A65"/>
    <w:rsid w:val="00A974A6"/>
    <w:rsid w:val="00AA39A4"/>
    <w:rsid w:val="00AB0C9B"/>
    <w:rsid w:val="00AB4331"/>
    <w:rsid w:val="00AD4840"/>
    <w:rsid w:val="00AE5E42"/>
    <w:rsid w:val="00AF2633"/>
    <w:rsid w:val="00AF2841"/>
    <w:rsid w:val="00AF2FD3"/>
    <w:rsid w:val="00B00755"/>
    <w:rsid w:val="00B01B89"/>
    <w:rsid w:val="00B04560"/>
    <w:rsid w:val="00B106A4"/>
    <w:rsid w:val="00B117AB"/>
    <w:rsid w:val="00B11A50"/>
    <w:rsid w:val="00B11F9E"/>
    <w:rsid w:val="00B131A1"/>
    <w:rsid w:val="00B21576"/>
    <w:rsid w:val="00B311B2"/>
    <w:rsid w:val="00B3249F"/>
    <w:rsid w:val="00B329AF"/>
    <w:rsid w:val="00B54B97"/>
    <w:rsid w:val="00B61F17"/>
    <w:rsid w:val="00B733C2"/>
    <w:rsid w:val="00B85829"/>
    <w:rsid w:val="00B86791"/>
    <w:rsid w:val="00B87085"/>
    <w:rsid w:val="00B92713"/>
    <w:rsid w:val="00B96AC0"/>
    <w:rsid w:val="00BA4AED"/>
    <w:rsid w:val="00BA6536"/>
    <w:rsid w:val="00BA67AC"/>
    <w:rsid w:val="00BC009B"/>
    <w:rsid w:val="00BC0F54"/>
    <w:rsid w:val="00BC1998"/>
    <w:rsid w:val="00BC3985"/>
    <w:rsid w:val="00BC5557"/>
    <w:rsid w:val="00BC7CB5"/>
    <w:rsid w:val="00BD1F8F"/>
    <w:rsid w:val="00BD553A"/>
    <w:rsid w:val="00BE1FED"/>
    <w:rsid w:val="00BF6C5B"/>
    <w:rsid w:val="00C004DD"/>
    <w:rsid w:val="00C073F9"/>
    <w:rsid w:val="00C07F09"/>
    <w:rsid w:val="00C22F80"/>
    <w:rsid w:val="00C2501C"/>
    <w:rsid w:val="00C31797"/>
    <w:rsid w:val="00C356BC"/>
    <w:rsid w:val="00C43288"/>
    <w:rsid w:val="00C45E2D"/>
    <w:rsid w:val="00C47642"/>
    <w:rsid w:val="00C51050"/>
    <w:rsid w:val="00C52818"/>
    <w:rsid w:val="00C55AB8"/>
    <w:rsid w:val="00C63CA3"/>
    <w:rsid w:val="00C70350"/>
    <w:rsid w:val="00C86C61"/>
    <w:rsid w:val="00C8725B"/>
    <w:rsid w:val="00C91087"/>
    <w:rsid w:val="00C9413F"/>
    <w:rsid w:val="00C94AA6"/>
    <w:rsid w:val="00CA04E4"/>
    <w:rsid w:val="00CA0B48"/>
    <w:rsid w:val="00CA32BA"/>
    <w:rsid w:val="00CA4609"/>
    <w:rsid w:val="00CB00DA"/>
    <w:rsid w:val="00CB1A51"/>
    <w:rsid w:val="00CB280D"/>
    <w:rsid w:val="00CB4A33"/>
    <w:rsid w:val="00CB4B9D"/>
    <w:rsid w:val="00CB5825"/>
    <w:rsid w:val="00CB5E87"/>
    <w:rsid w:val="00CD4B5E"/>
    <w:rsid w:val="00CE32CD"/>
    <w:rsid w:val="00CE6435"/>
    <w:rsid w:val="00CE791D"/>
    <w:rsid w:val="00CF174B"/>
    <w:rsid w:val="00CF6DCE"/>
    <w:rsid w:val="00D11521"/>
    <w:rsid w:val="00D1392C"/>
    <w:rsid w:val="00D21C64"/>
    <w:rsid w:val="00D21E3A"/>
    <w:rsid w:val="00D31863"/>
    <w:rsid w:val="00D31FC5"/>
    <w:rsid w:val="00D34B7B"/>
    <w:rsid w:val="00D37956"/>
    <w:rsid w:val="00D4683F"/>
    <w:rsid w:val="00D50230"/>
    <w:rsid w:val="00D5781F"/>
    <w:rsid w:val="00D61442"/>
    <w:rsid w:val="00D631D2"/>
    <w:rsid w:val="00D665E1"/>
    <w:rsid w:val="00D70952"/>
    <w:rsid w:val="00D72663"/>
    <w:rsid w:val="00D74A85"/>
    <w:rsid w:val="00D75946"/>
    <w:rsid w:val="00D913C1"/>
    <w:rsid w:val="00D967AF"/>
    <w:rsid w:val="00D96EEE"/>
    <w:rsid w:val="00DA0C66"/>
    <w:rsid w:val="00DA7322"/>
    <w:rsid w:val="00DD15EA"/>
    <w:rsid w:val="00DD3917"/>
    <w:rsid w:val="00E10204"/>
    <w:rsid w:val="00E21FB5"/>
    <w:rsid w:val="00E26272"/>
    <w:rsid w:val="00E36C84"/>
    <w:rsid w:val="00E45A92"/>
    <w:rsid w:val="00E46E80"/>
    <w:rsid w:val="00E4726D"/>
    <w:rsid w:val="00E508AD"/>
    <w:rsid w:val="00E55732"/>
    <w:rsid w:val="00E55E43"/>
    <w:rsid w:val="00E55EB0"/>
    <w:rsid w:val="00E60745"/>
    <w:rsid w:val="00E6338B"/>
    <w:rsid w:val="00E670E4"/>
    <w:rsid w:val="00E74230"/>
    <w:rsid w:val="00E75282"/>
    <w:rsid w:val="00E77BBC"/>
    <w:rsid w:val="00E8407F"/>
    <w:rsid w:val="00E8473A"/>
    <w:rsid w:val="00E85677"/>
    <w:rsid w:val="00E87FDB"/>
    <w:rsid w:val="00E93B69"/>
    <w:rsid w:val="00E97B53"/>
    <w:rsid w:val="00EA0FE0"/>
    <w:rsid w:val="00EA16F6"/>
    <w:rsid w:val="00EA23B7"/>
    <w:rsid w:val="00EB4218"/>
    <w:rsid w:val="00EB5016"/>
    <w:rsid w:val="00EB5A74"/>
    <w:rsid w:val="00EC3E8B"/>
    <w:rsid w:val="00EC45AD"/>
    <w:rsid w:val="00EC5510"/>
    <w:rsid w:val="00EC795B"/>
    <w:rsid w:val="00ED67A1"/>
    <w:rsid w:val="00EE0ECC"/>
    <w:rsid w:val="00EE1455"/>
    <w:rsid w:val="00EF0F68"/>
    <w:rsid w:val="00EF1C91"/>
    <w:rsid w:val="00F03676"/>
    <w:rsid w:val="00F051CB"/>
    <w:rsid w:val="00F07D34"/>
    <w:rsid w:val="00F13DCD"/>
    <w:rsid w:val="00F17934"/>
    <w:rsid w:val="00F50FCB"/>
    <w:rsid w:val="00F5189B"/>
    <w:rsid w:val="00F56258"/>
    <w:rsid w:val="00F626B6"/>
    <w:rsid w:val="00F82022"/>
    <w:rsid w:val="00F854B1"/>
    <w:rsid w:val="00F92A86"/>
    <w:rsid w:val="00F957A2"/>
    <w:rsid w:val="00FB03A9"/>
    <w:rsid w:val="00FB36BF"/>
    <w:rsid w:val="00FB5EBE"/>
    <w:rsid w:val="00FC5125"/>
    <w:rsid w:val="00FC7268"/>
    <w:rsid w:val="00FD59EE"/>
    <w:rsid w:val="00FE1C3B"/>
    <w:rsid w:val="00FE1DDB"/>
    <w:rsid w:val="00FE3F7A"/>
    <w:rsid w:val="00FF1FB9"/>
    <w:rsid w:val="00FF630F"/>
    <w:rsid w:val="00FF65B9"/>
    <w:rsid w:val="00FF6FEC"/>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4E9F8"/>
  <w15:docId w15:val="{333BDBEA-38C8-4387-8995-39B6ECC71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TextA">
    <w:name w:val="Text A"/>
    <w:pPr>
      <w:spacing w:before="40" w:after="160" w:line="288" w:lineRule="auto"/>
    </w:pPr>
    <w:rPr>
      <w:rFonts w:ascii="Cambria" w:eastAsia="Cambria" w:hAnsi="Cambria" w:cs="Cambria"/>
      <w:color w:val="595959"/>
      <w:u w:color="595959"/>
    </w:rPr>
  </w:style>
  <w:style w:type="paragraph" w:styleId="Textbubliny">
    <w:name w:val="Balloon Text"/>
    <w:basedOn w:val="Normln"/>
    <w:link w:val="TextbublinyChar"/>
    <w:uiPriority w:val="99"/>
    <w:semiHidden/>
    <w:unhideWhenUsed/>
    <w:rsid w:val="004D658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D6583"/>
    <w:rPr>
      <w:rFonts w:ascii="Segoe UI" w:hAnsi="Segoe UI" w:cs="Segoe UI"/>
      <w:sz w:val="18"/>
      <w:szCs w:val="18"/>
      <w:lang w:val="en-GB" w:eastAsia="en-US"/>
    </w:rPr>
  </w:style>
  <w:style w:type="paragraph" w:styleId="Zhlav">
    <w:name w:val="header"/>
    <w:basedOn w:val="Normln"/>
    <w:link w:val="ZhlavChar"/>
    <w:uiPriority w:val="99"/>
    <w:unhideWhenUsed/>
    <w:rsid w:val="00536421"/>
    <w:pPr>
      <w:tabs>
        <w:tab w:val="center" w:pos="4536"/>
        <w:tab w:val="right" w:pos="9072"/>
      </w:tabs>
    </w:pPr>
  </w:style>
  <w:style w:type="character" w:customStyle="1" w:styleId="ZhlavChar">
    <w:name w:val="Záhlaví Char"/>
    <w:basedOn w:val="Standardnpsmoodstavce"/>
    <w:link w:val="Zhlav"/>
    <w:uiPriority w:val="99"/>
    <w:rsid w:val="00536421"/>
    <w:rPr>
      <w:sz w:val="24"/>
      <w:szCs w:val="24"/>
      <w:lang w:val="en-GB" w:eastAsia="en-US"/>
    </w:rPr>
  </w:style>
  <w:style w:type="paragraph" w:styleId="Zpat">
    <w:name w:val="footer"/>
    <w:basedOn w:val="Normln"/>
    <w:link w:val="ZpatChar"/>
    <w:uiPriority w:val="99"/>
    <w:unhideWhenUsed/>
    <w:rsid w:val="00536421"/>
    <w:pPr>
      <w:tabs>
        <w:tab w:val="center" w:pos="4536"/>
        <w:tab w:val="right" w:pos="9072"/>
      </w:tabs>
    </w:pPr>
  </w:style>
  <w:style w:type="character" w:customStyle="1" w:styleId="ZpatChar">
    <w:name w:val="Zápatí Char"/>
    <w:basedOn w:val="Standardnpsmoodstavce"/>
    <w:link w:val="Zpat"/>
    <w:uiPriority w:val="99"/>
    <w:rsid w:val="00536421"/>
    <w:rPr>
      <w:sz w:val="24"/>
      <w:szCs w:val="24"/>
      <w:lang w:val="en-GB" w:eastAsia="en-US"/>
    </w:rPr>
  </w:style>
  <w:style w:type="character" w:styleId="Odkaznakoment">
    <w:name w:val="annotation reference"/>
    <w:basedOn w:val="Standardnpsmoodstavce"/>
    <w:uiPriority w:val="99"/>
    <w:semiHidden/>
    <w:unhideWhenUsed/>
    <w:rsid w:val="007F7A28"/>
    <w:rPr>
      <w:sz w:val="16"/>
      <w:szCs w:val="16"/>
    </w:rPr>
  </w:style>
  <w:style w:type="paragraph" w:styleId="Textkomente">
    <w:name w:val="annotation text"/>
    <w:basedOn w:val="Normln"/>
    <w:link w:val="TextkomenteChar"/>
    <w:uiPriority w:val="99"/>
    <w:semiHidden/>
    <w:unhideWhenUsed/>
    <w:rsid w:val="007F7A28"/>
    <w:rPr>
      <w:sz w:val="20"/>
      <w:szCs w:val="20"/>
    </w:rPr>
  </w:style>
  <w:style w:type="character" w:customStyle="1" w:styleId="TextkomenteChar">
    <w:name w:val="Text komentáře Char"/>
    <w:basedOn w:val="Standardnpsmoodstavce"/>
    <w:link w:val="Textkomente"/>
    <w:uiPriority w:val="99"/>
    <w:semiHidden/>
    <w:rsid w:val="007F7A28"/>
    <w:rPr>
      <w:lang w:val="en-GB" w:eastAsia="en-US"/>
    </w:rPr>
  </w:style>
  <w:style w:type="paragraph" w:styleId="Pedmtkomente">
    <w:name w:val="annotation subject"/>
    <w:basedOn w:val="Textkomente"/>
    <w:next w:val="Textkomente"/>
    <w:link w:val="PedmtkomenteChar"/>
    <w:uiPriority w:val="99"/>
    <w:semiHidden/>
    <w:unhideWhenUsed/>
    <w:rsid w:val="007F7A28"/>
    <w:rPr>
      <w:b/>
      <w:bCs/>
    </w:rPr>
  </w:style>
  <w:style w:type="character" w:customStyle="1" w:styleId="PedmtkomenteChar">
    <w:name w:val="Předmět komentáře Char"/>
    <w:basedOn w:val="TextkomenteChar"/>
    <w:link w:val="Pedmtkomente"/>
    <w:uiPriority w:val="99"/>
    <w:semiHidden/>
    <w:rsid w:val="007F7A28"/>
    <w:rPr>
      <w:b/>
      <w:bCs/>
      <w:lang w:val="en-GB" w:eastAsia="en-US"/>
    </w:rPr>
  </w:style>
  <w:style w:type="character" w:customStyle="1" w:styleId="Nevyeenzmnka1">
    <w:name w:val="Nevyřešená zmínka1"/>
    <w:basedOn w:val="Standardnpsmoodstavce"/>
    <w:uiPriority w:val="99"/>
    <w:semiHidden/>
    <w:unhideWhenUsed/>
    <w:rsid w:val="00E45A92"/>
    <w:rPr>
      <w:color w:val="605E5C"/>
      <w:shd w:val="clear" w:color="auto" w:fill="E1DFDD"/>
    </w:rPr>
  </w:style>
  <w:style w:type="character" w:customStyle="1" w:styleId="A8">
    <w:name w:val="A8"/>
    <w:uiPriority w:val="99"/>
    <w:rsid w:val="001A45F4"/>
    <w:rPr>
      <w:rFonts w:cs="Montserrat"/>
      <w:b/>
      <w:bCs/>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5537">
      <w:bodyDiv w:val="1"/>
      <w:marLeft w:val="0"/>
      <w:marRight w:val="0"/>
      <w:marTop w:val="0"/>
      <w:marBottom w:val="0"/>
      <w:divBdr>
        <w:top w:val="none" w:sz="0" w:space="0" w:color="auto"/>
        <w:left w:val="none" w:sz="0" w:space="0" w:color="auto"/>
        <w:bottom w:val="none" w:sz="0" w:space="0" w:color="auto"/>
        <w:right w:val="none" w:sz="0" w:space="0" w:color="auto"/>
      </w:divBdr>
    </w:div>
    <w:div w:id="60300626">
      <w:bodyDiv w:val="1"/>
      <w:marLeft w:val="0"/>
      <w:marRight w:val="0"/>
      <w:marTop w:val="0"/>
      <w:marBottom w:val="0"/>
      <w:divBdr>
        <w:top w:val="none" w:sz="0" w:space="0" w:color="auto"/>
        <w:left w:val="none" w:sz="0" w:space="0" w:color="auto"/>
        <w:bottom w:val="none" w:sz="0" w:space="0" w:color="auto"/>
        <w:right w:val="none" w:sz="0" w:space="0" w:color="auto"/>
      </w:divBdr>
    </w:div>
    <w:div w:id="153224300">
      <w:bodyDiv w:val="1"/>
      <w:marLeft w:val="0"/>
      <w:marRight w:val="0"/>
      <w:marTop w:val="0"/>
      <w:marBottom w:val="0"/>
      <w:divBdr>
        <w:top w:val="none" w:sz="0" w:space="0" w:color="auto"/>
        <w:left w:val="none" w:sz="0" w:space="0" w:color="auto"/>
        <w:bottom w:val="none" w:sz="0" w:space="0" w:color="auto"/>
        <w:right w:val="none" w:sz="0" w:space="0" w:color="auto"/>
      </w:divBdr>
    </w:div>
    <w:div w:id="476386159">
      <w:bodyDiv w:val="1"/>
      <w:marLeft w:val="0"/>
      <w:marRight w:val="0"/>
      <w:marTop w:val="0"/>
      <w:marBottom w:val="0"/>
      <w:divBdr>
        <w:top w:val="none" w:sz="0" w:space="0" w:color="auto"/>
        <w:left w:val="none" w:sz="0" w:space="0" w:color="auto"/>
        <w:bottom w:val="none" w:sz="0" w:space="0" w:color="auto"/>
        <w:right w:val="none" w:sz="0" w:space="0" w:color="auto"/>
      </w:divBdr>
    </w:div>
    <w:div w:id="555170072">
      <w:bodyDiv w:val="1"/>
      <w:marLeft w:val="0"/>
      <w:marRight w:val="0"/>
      <w:marTop w:val="0"/>
      <w:marBottom w:val="0"/>
      <w:divBdr>
        <w:top w:val="none" w:sz="0" w:space="0" w:color="auto"/>
        <w:left w:val="none" w:sz="0" w:space="0" w:color="auto"/>
        <w:bottom w:val="none" w:sz="0" w:space="0" w:color="auto"/>
        <w:right w:val="none" w:sz="0" w:space="0" w:color="auto"/>
      </w:divBdr>
    </w:div>
    <w:div w:id="1152453396">
      <w:bodyDiv w:val="1"/>
      <w:marLeft w:val="0"/>
      <w:marRight w:val="0"/>
      <w:marTop w:val="0"/>
      <w:marBottom w:val="0"/>
      <w:divBdr>
        <w:top w:val="none" w:sz="0" w:space="0" w:color="auto"/>
        <w:left w:val="none" w:sz="0" w:space="0" w:color="auto"/>
        <w:bottom w:val="none" w:sz="0" w:space="0" w:color="auto"/>
        <w:right w:val="none" w:sz="0" w:space="0" w:color="auto"/>
      </w:divBdr>
    </w:div>
    <w:div w:id="1224219821">
      <w:bodyDiv w:val="1"/>
      <w:marLeft w:val="0"/>
      <w:marRight w:val="0"/>
      <w:marTop w:val="0"/>
      <w:marBottom w:val="0"/>
      <w:divBdr>
        <w:top w:val="none" w:sz="0" w:space="0" w:color="auto"/>
        <w:left w:val="none" w:sz="0" w:space="0" w:color="auto"/>
        <w:bottom w:val="none" w:sz="0" w:space="0" w:color="auto"/>
        <w:right w:val="none" w:sz="0" w:space="0" w:color="auto"/>
      </w:divBdr>
    </w:div>
    <w:div w:id="1498037686">
      <w:bodyDiv w:val="1"/>
      <w:marLeft w:val="0"/>
      <w:marRight w:val="0"/>
      <w:marTop w:val="0"/>
      <w:marBottom w:val="0"/>
      <w:divBdr>
        <w:top w:val="none" w:sz="0" w:space="0" w:color="auto"/>
        <w:left w:val="none" w:sz="0" w:space="0" w:color="auto"/>
        <w:bottom w:val="none" w:sz="0" w:space="0" w:color="auto"/>
        <w:right w:val="none" w:sz="0" w:space="0" w:color="auto"/>
      </w:divBdr>
    </w:div>
    <w:div w:id="1561362228">
      <w:bodyDiv w:val="1"/>
      <w:marLeft w:val="0"/>
      <w:marRight w:val="0"/>
      <w:marTop w:val="0"/>
      <w:marBottom w:val="0"/>
      <w:divBdr>
        <w:top w:val="none" w:sz="0" w:space="0" w:color="auto"/>
        <w:left w:val="none" w:sz="0" w:space="0" w:color="auto"/>
        <w:bottom w:val="none" w:sz="0" w:space="0" w:color="auto"/>
        <w:right w:val="none" w:sz="0" w:space="0" w:color="auto"/>
      </w:divBdr>
    </w:div>
    <w:div w:id="1589577918">
      <w:bodyDiv w:val="1"/>
      <w:marLeft w:val="0"/>
      <w:marRight w:val="0"/>
      <w:marTop w:val="0"/>
      <w:marBottom w:val="0"/>
      <w:divBdr>
        <w:top w:val="none" w:sz="0" w:space="0" w:color="auto"/>
        <w:left w:val="none" w:sz="0" w:space="0" w:color="auto"/>
        <w:bottom w:val="none" w:sz="0" w:space="0" w:color="auto"/>
        <w:right w:val="none" w:sz="0" w:space="0" w:color="auto"/>
      </w:divBdr>
    </w:div>
    <w:div w:id="2140026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8961FBEC584C84EA950287801D070B4" ma:contentTypeVersion="13" ma:contentTypeDescription="Vytvoří nový dokument" ma:contentTypeScope="" ma:versionID="b671a2942512880c92e42223acc38380">
  <xsd:schema xmlns:xsd="http://www.w3.org/2001/XMLSchema" xmlns:xs="http://www.w3.org/2001/XMLSchema" xmlns:p="http://schemas.microsoft.com/office/2006/metadata/properties" xmlns:ns3="fa4e4678-c184-4293-b9ac-e4816ee1ab10" xmlns:ns4="0c47281e-a76c-4e76-9c4e-609c0a6dcae9" targetNamespace="http://schemas.microsoft.com/office/2006/metadata/properties" ma:root="true" ma:fieldsID="0211635d66550b9cfaa164fbca6eac0a" ns3:_="" ns4:_="">
    <xsd:import namespace="fa4e4678-c184-4293-b9ac-e4816ee1ab10"/>
    <xsd:import namespace="0c47281e-a76c-4e76-9c4e-609c0a6dca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e4678-c184-4293-b9ac-e4816ee1a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47281e-a76c-4e76-9c4e-609c0a6dcae9"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60B83-B080-47A1-99F9-8197970D52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AF4E91-4DC3-4F82-B8C9-1C8F82F73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e4678-c184-4293-b9ac-e4816ee1ab10"/>
    <ds:schemaRef ds:uri="0c47281e-a76c-4e76-9c4e-609c0a6dc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6AE632-8FCF-49BA-B856-84975C9348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2971</Characters>
  <Application>Microsoft Office Word</Application>
  <DocSecurity>0</DocSecurity>
  <Lines>24</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Straškrabová</dc:creator>
  <cp:lastModifiedBy>Tereza Trnková</cp:lastModifiedBy>
  <cp:revision>4</cp:revision>
  <dcterms:created xsi:type="dcterms:W3CDTF">2020-05-12T10:21:00Z</dcterms:created>
  <dcterms:modified xsi:type="dcterms:W3CDTF">2020-05-19T08:15:00Z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0x01010038961FBEC584C84EA950287801D070B4</vt:lpwstr>
  </property>
</Properties>
</file>