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ECDD9" w14:textId="1B9AB85D" w:rsidR="00E75282" w:rsidRPr="00B958C3" w:rsidRDefault="00E75282" w:rsidP="00B958C3">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rPr>
          <w:rFonts w:ascii="Calibri" w:eastAsia="Calibri" w:hAnsi="Calibri" w:cs="Calibri"/>
          <w:b/>
          <w:bdr w:val="none" w:sz="0" w:space="0" w:color="auto"/>
        </w:rPr>
      </w:pPr>
      <w:r>
        <w:rPr>
          <w:rFonts w:ascii="Calibri" w:hAnsi="Calibri"/>
          <w:b/>
          <w:bdr w:val="none" w:sz="0" w:space="0" w:color="auto"/>
        </w:rPr>
        <w:t>Press Release 01 April 2020</w:t>
      </w:r>
    </w:p>
    <w:p w14:paraId="429C005B" w14:textId="0C873D7D" w:rsidR="00E75282" w:rsidRPr="00E75282" w:rsidRDefault="00E8473A" w:rsidP="00E7528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b/>
          <w:sz w:val="28"/>
          <w:szCs w:val="28"/>
          <w:bdr w:val="none" w:sz="0" w:space="0" w:color="auto"/>
        </w:rPr>
      </w:pPr>
      <w:r>
        <w:rPr>
          <w:rFonts w:ascii="Calibri" w:hAnsi="Calibri"/>
          <w:b/>
          <w:sz w:val="28"/>
          <w:szCs w:val="28"/>
          <w:bdr w:val="none" w:sz="0" w:space="0" w:color="auto"/>
        </w:rPr>
        <w:t>Czech Real Estate Developer Contera Enters the Slovak Market</w:t>
      </w:r>
    </w:p>
    <w:p w14:paraId="0493DAF4" w14:textId="4E738FA1" w:rsidR="00101E01" w:rsidRPr="00340DA7" w:rsidRDefault="0069116D" w:rsidP="00E7528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bdr w:val="none" w:sz="0" w:space="0" w:color="auto"/>
        </w:rPr>
      </w:pPr>
      <w:r>
        <w:rPr>
          <w:rFonts w:ascii="Calibri" w:hAnsi="Calibri"/>
          <w:b/>
          <w:bCs/>
          <w:bdr w:val="none" w:sz="0" w:space="0" w:color="auto"/>
        </w:rPr>
        <w:t>Czech real estate developer Contera opened a new subsidiary in Bratislava in April. Last autumn it purchased four logistics and industrial facilities at Vector Parks from Macquarie Infrastructure and Real Assets (MIRA). Three of the facilities are located in Slovakia and one in the Czech Republic. Contera thereby entered the Slovak market through a joint fund with TPG.</w:t>
      </w:r>
    </w:p>
    <w:p w14:paraId="6D9E0DE4" w14:textId="178493D6" w:rsidR="00002277" w:rsidRDefault="00756D6F" w:rsidP="00756D6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Pr>
          <w:rFonts w:ascii="Calibri" w:hAnsi="Calibri"/>
          <w:bdr w:val="none" w:sz="0" w:space="0" w:color="auto"/>
        </w:rPr>
        <w:t xml:space="preserve">The value of the business transaction exceeded EUR 100 million. </w:t>
      </w:r>
      <w:r>
        <w:rPr>
          <w:rFonts w:ascii="Calibri" w:hAnsi="Calibri"/>
          <w:i/>
          <w:iCs/>
          <w:bdr w:val="none" w:sz="0" w:space="0" w:color="auto"/>
        </w:rPr>
        <w:t>“The total leasable area of Vector Parks is 131,700 m</w:t>
      </w:r>
      <w:r>
        <w:rPr>
          <w:rFonts w:ascii="Calibri" w:hAnsi="Calibri"/>
          <w:i/>
          <w:iCs/>
          <w:bdr w:val="none" w:sz="0" w:space="0" w:color="auto"/>
          <w:vertAlign w:val="superscript"/>
        </w:rPr>
        <w:t>2</w:t>
      </w:r>
      <w:r>
        <w:rPr>
          <w:rFonts w:ascii="Calibri" w:hAnsi="Calibri"/>
          <w:i/>
          <w:iCs/>
          <w:bdr w:val="none" w:sz="0" w:space="0" w:color="auto"/>
        </w:rPr>
        <w:t>. It is a combination of warehouse, industrial, manufacturing, and office space,”</w:t>
      </w:r>
      <w:r>
        <w:rPr>
          <w:rFonts w:ascii="Calibri" w:hAnsi="Calibri"/>
          <w:bdr w:val="none" w:sz="0" w:space="0" w:color="auto"/>
        </w:rPr>
        <w:t xml:space="preserve"> said Dušan Kastl, CEO and Partner of Contera. The two parks in Bratislava occupy an area of 100,100 m². The third Slovak park is located near Prešov in the locality of Malý Šariš (17,100 m</w:t>
      </w:r>
      <w:r>
        <w:rPr>
          <w:rFonts w:ascii="Calibri" w:hAnsi="Calibri"/>
          <w:bdr w:val="none" w:sz="0" w:space="0" w:color="auto"/>
          <w:vertAlign w:val="superscript"/>
        </w:rPr>
        <w:t>2</w:t>
      </w:r>
      <w:r>
        <w:rPr>
          <w:rFonts w:ascii="Calibri" w:hAnsi="Calibri"/>
          <w:bdr w:val="none" w:sz="0" w:space="0" w:color="auto"/>
        </w:rPr>
        <w:t>). The Czech park is located in Mošnov, near Ostrava Airport (14,500 m</w:t>
      </w:r>
      <w:r>
        <w:rPr>
          <w:rFonts w:ascii="Calibri" w:hAnsi="Calibri"/>
          <w:bdr w:val="none" w:sz="0" w:space="0" w:color="auto"/>
          <w:vertAlign w:val="superscript"/>
        </w:rPr>
        <w:t>2</w:t>
      </w:r>
      <w:r>
        <w:rPr>
          <w:rFonts w:ascii="Calibri" w:hAnsi="Calibri"/>
          <w:bdr w:val="none" w:sz="0" w:space="0" w:color="auto"/>
        </w:rPr>
        <w:t xml:space="preserve">). </w:t>
      </w:r>
    </w:p>
    <w:p w14:paraId="77F9D130" w14:textId="6D0DBAC2" w:rsidR="00A267C8" w:rsidRPr="004051EE" w:rsidRDefault="001A45F4" w:rsidP="00756D6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Pr>
          <w:rFonts w:ascii="Calibri" w:hAnsi="Calibri"/>
          <w:bdr w:val="none" w:sz="0" w:space="0" w:color="auto"/>
        </w:rPr>
        <w:t xml:space="preserve"> </w:t>
      </w:r>
      <w:r>
        <w:rPr>
          <w:rFonts w:ascii="Calibri" w:hAnsi="Calibri"/>
          <w:i/>
          <w:iCs/>
          <w:bdr w:val="none" w:sz="0" w:space="0" w:color="auto"/>
        </w:rPr>
        <w:t>“We chose Vector Parks for the strategic location of the facilities and their connection to the local infrastructure. With an area of over 100,000 m</w:t>
      </w:r>
      <w:r>
        <w:rPr>
          <w:rFonts w:ascii="Calibri" w:hAnsi="Calibri"/>
          <w:i/>
          <w:iCs/>
          <w:bdr w:val="none" w:sz="0" w:space="0" w:color="auto"/>
          <w:vertAlign w:val="superscript"/>
        </w:rPr>
        <w:t>2</w:t>
      </w:r>
      <w:r>
        <w:rPr>
          <w:rFonts w:ascii="Calibri" w:hAnsi="Calibri"/>
          <w:i/>
          <w:iCs/>
          <w:bdr w:val="none" w:sz="0" w:space="0" w:color="auto"/>
        </w:rPr>
        <w:t>, we acquired a significant market share in Slovakia. We are delighted that the acquisition, which could only be implemented thanks to the cooperation with TPG, allowed us to launch active operations in the Slovak market. In April, we are opening a subsidiary in Bratislava, and we also have a new domain: www.contera.sk,”</w:t>
      </w:r>
      <w:r>
        <w:rPr>
          <w:rFonts w:ascii="Calibri" w:hAnsi="Calibri"/>
          <w:bdr w:val="none" w:sz="0" w:space="0" w:color="auto"/>
        </w:rPr>
        <w:t xml:space="preserve"> said Tomáš Jirků, CEO and Partner of Contera.</w:t>
      </w:r>
    </w:p>
    <w:p w14:paraId="4EE3D2F0" w14:textId="4BDDC7C0" w:rsidR="00547A4A" w:rsidRDefault="000A7964" w:rsidP="00E7528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Pr>
          <w:rFonts w:ascii="Calibri" w:hAnsi="Calibri"/>
          <w:bdr w:val="none" w:sz="0" w:space="0" w:color="auto"/>
        </w:rPr>
        <w:t>Vector Parks will be operated under the brand of Contera Park and will be a part of the joint portfolio of Contera and TPG (CTRE fund) like Contera Park Ostrava City, Contera Park Ostrava D1, Contera Park Teplice, and Contera Park Hustopeče.</w:t>
      </w:r>
    </w:p>
    <w:p w14:paraId="5A12D12D" w14:textId="5EC85B7B" w:rsidR="00EC5510" w:rsidRDefault="001E508A" w:rsidP="00E8473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dr w:val="none" w:sz="0" w:space="0" w:color="auto"/>
        </w:rPr>
      </w:pPr>
      <w:r>
        <w:rPr>
          <w:rFonts w:ascii="Calibri" w:hAnsi="Calibri"/>
          <w:bdr w:val="none" w:sz="0" w:space="0" w:color="auto"/>
        </w:rPr>
        <w:t xml:space="preserve">There are no changes for the current lessees. In the Slovakian parks, there is even the same real estate management team. </w:t>
      </w:r>
      <w:r w:rsidR="00CB280D" w:rsidRPr="002233A0">
        <w:rPr>
          <w:rFonts w:ascii="Calibri" w:hAnsi="Calibri"/>
          <w:bdr w:val="none" w:sz="0" w:space="0" w:color="auto"/>
        </w:rPr>
        <w:t>Regarding Czech and Slovakian parks, we are planning to develop them further; there is enough space, e.g., in Ostrava, Prešov or Hustopeče</w:t>
      </w:r>
      <w:bookmarkStart w:id="0" w:name="_GoBack"/>
      <w:bookmarkEnd w:id="0"/>
      <w:r w:rsidR="00CB280D">
        <w:rPr>
          <w:rFonts w:ascii="Calibri" w:hAnsi="Calibri"/>
          <w:bdr w:val="none" w:sz="0" w:space="0" w:color="auto"/>
        </w:rPr>
        <w:t>.</w:t>
      </w:r>
    </w:p>
    <w:p w14:paraId="23F4FFBF" w14:textId="77777777" w:rsidR="00784DBC" w:rsidRPr="00784DBC" w:rsidRDefault="00784DBC" w:rsidP="00E8473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8"/>
          <w:szCs w:val="8"/>
          <w:bdr w:val="none" w:sz="0" w:space="0" w:color="auto"/>
          <w:lang w:val="cs-CZ"/>
        </w:rPr>
      </w:pPr>
    </w:p>
    <w:p w14:paraId="0D382458" w14:textId="5FC7DA29" w:rsidR="003A568F" w:rsidRPr="00B958C3" w:rsidRDefault="003A568F" w:rsidP="00E45A92">
      <w:pPr>
        <w:pStyle w:val="Zpat"/>
        <w:tabs>
          <w:tab w:val="clear" w:pos="4536"/>
          <w:tab w:val="clear" w:pos="9072"/>
          <w:tab w:val="left" w:pos="284"/>
          <w:tab w:val="left" w:pos="7088"/>
          <w:tab w:val="left" w:pos="7371"/>
        </w:tabs>
        <w:rPr>
          <w:rFonts w:ascii="Calibri" w:hAnsi="Calibri" w:cs="Calibri"/>
          <w:b/>
          <w:lang w:val="da-DK"/>
        </w:rPr>
      </w:pPr>
      <w:r>
        <w:rPr>
          <w:rFonts w:ascii="Calibri" w:hAnsi="Calibri"/>
          <w:b/>
          <w:noProof/>
        </w:rPr>
        <mc:AlternateContent>
          <mc:Choice Requires="wps">
            <w:drawing>
              <wp:anchor distT="0" distB="0" distL="114300" distR="114300" simplePos="0" relativeHeight="251659264" behindDoc="0" locked="0" layoutInCell="1" allowOverlap="1" wp14:anchorId="6E468A50" wp14:editId="233512D4">
                <wp:simplePos x="0" y="0"/>
                <wp:positionH relativeFrom="column">
                  <wp:posOffset>-358140</wp:posOffset>
                </wp:positionH>
                <wp:positionV relativeFrom="paragraph">
                  <wp:posOffset>-96520</wp:posOffset>
                </wp:positionV>
                <wp:extent cx="6840000" cy="0"/>
                <wp:effectExtent l="0" t="0" r="0" b="0"/>
                <wp:wrapNone/>
                <wp:docPr id="35" name="Přímá spojnice 35"/>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rgbClr val="C4CB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411A4C" id="Přímá spojnice 3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7.6pt" to="51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" strokecolor="#c4cb2b" strokeweight="1pt"/>
            </w:pict>
          </mc:Fallback>
        </mc:AlternateContent>
      </w:r>
      <w:r w:rsidRPr="00B958C3">
        <w:rPr>
          <w:rFonts w:ascii="Calibri" w:hAnsi="Calibri"/>
          <w:b/>
          <w:lang w:val="da-DK"/>
        </w:rPr>
        <w:t>Media Contact Person</w:t>
      </w:r>
    </w:p>
    <w:p w14:paraId="6C005E30" w14:textId="3ADBB5E8" w:rsidR="00D5781F" w:rsidRPr="00B958C3" w:rsidRDefault="00AE5E42" w:rsidP="00E45A92">
      <w:pPr>
        <w:pStyle w:val="Zpat"/>
        <w:tabs>
          <w:tab w:val="clear" w:pos="4536"/>
          <w:tab w:val="clear" w:pos="9072"/>
          <w:tab w:val="left" w:pos="284"/>
          <w:tab w:val="left" w:pos="7088"/>
          <w:tab w:val="left" w:pos="7371"/>
        </w:tabs>
        <w:rPr>
          <w:rFonts w:ascii="Calibri" w:hAnsi="Calibri" w:cs="Calibri"/>
          <w:lang w:val="da-DK"/>
        </w:rPr>
      </w:pPr>
      <w:r w:rsidRPr="00B958C3">
        <w:rPr>
          <w:rFonts w:ascii="Calibri" w:hAnsi="Calibri"/>
          <w:lang w:val="da-DK"/>
        </w:rPr>
        <w:t>Erika Straškrabová</w:t>
      </w:r>
      <w:r w:rsidRPr="00B958C3">
        <w:rPr>
          <w:rFonts w:ascii="Calibri" w:hAnsi="Calibri"/>
          <w:lang w:val="da-DK"/>
        </w:rPr>
        <w:tab/>
      </w:r>
    </w:p>
    <w:p w14:paraId="4BC0C1F8" w14:textId="77B1941E" w:rsidR="000C3742" w:rsidRPr="00B958C3" w:rsidRDefault="00AE5E42" w:rsidP="00E45A92">
      <w:pPr>
        <w:pStyle w:val="Zpat"/>
        <w:tabs>
          <w:tab w:val="clear" w:pos="4536"/>
          <w:tab w:val="clear" w:pos="9072"/>
          <w:tab w:val="left" w:pos="426"/>
          <w:tab w:val="left" w:pos="7088"/>
          <w:tab w:val="left" w:pos="7371"/>
        </w:tabs>
        <w:rPr>
          <w:rFonts w:ascii="Calibri" w:hAnsi="Calibri" w:cs="Calibri"/>
          <w:lang w:val="da-DK"/>
        </w:rPr>
      </w:pPr>
      <w:r w:rsidRPr="00B958C3">
        <w:rPr>
          <w:rFonts w:ascii="Calibri" w:hAnsi="Calibri"/>
          <w:lang w:val="da-DK"/>
        </w:rPr>
        <w:t>Marketing &amp; PR Manager</w:t>
      </w:r>
    </w:p>
    <w:p w14:paraId="06E5C927" w14:textId="41F2D323" w:rsidR="00D5781F" w:rsidRPr="00B958C3" w:rsidRDefault="003A568F" w:rsidP="00E45A92">
      <w:pPr>
        <w:pStyle w:val="Zpat"/>
        <w:tabs>
          <w:tab w:val="clear" w:pos="4536"/>
          <w:tab w:val="clear" w:pos="9072"/>
          <w:tab w:val="left" w:pos="426"/>
          <w:tab w:val="left" w:pos="7088"/>
          <w:tab w:val="left" w:pos="7371"/>
        </w:tabs>
        <w:rPr>
          <w:rFonts w:ascii="Calibri" w:hAnsi="Calibri" w:cs="Calibri"/>
          <w:lang w:val="it-IT"/>
        </w:rPr>
      </w:pPr>
      <w:r w:rsidRPr="00B958C3">
        <w:rPr>
          <w:rFonts w:ascii="Calibri" w:hAnsi="Calibri"/>
          <w:lang w:val="it-IT"/>
        </w:rPr>
        <w:t>Mobile:+420 732 915 226</w:t>
      </w:r>
      <w:r w:rsidRPr="00B958C3">
        <w:rPr>
          <w:rFonts w:ascii="Calibri" w:hAnsi="Calibri"/>
          <w:lang w:val="it-IT"/>
        </w:rPr>
        <w:tab/>
      </w:r>
    </w:p>
    <w:p w14:paraId="3FB2B94A" w14:textId="54671B58" w:rsidR="00C45E2D" w:rsidRPr="00B958C3" w:rsidRDefault="003A568F" w:rsidP="00E45A9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hAnsi="Calibri" w:cs="Calibri"/>
          <w:lang w:val="it-IT"/>
        </w:rPr>
      </w:pPr>
      <w:r w:rsidRPr="00B958C3">
        <w:rPr>
          <w:rFonts w:ascii="Calibri" w:hAnsi="Calibri"/>
          <w:lang w:val="it-IT"/>
        </w:rPr>
        <w:t>Email:</w:t>
      </w:r>
      <w:r w:rsidRPr="00B958C3">
        <w:rPr>
          <w:rFonts w:ascii="Calibri" w:hAnsi="Calibri"/>
          <w:lang w:val="it-IT"/>
        </w:rPr>
        <w:tab/>
        <w:t>erika.straskrabova@contera.cz</w:t>
      </w:r>
    </w:p>
    <w:p w14:paraId="4274521A" w14:textId="77777777" w:rsidR="00E45A92" w:rsidRPr="00E45A92" w:rsidRDefault="00E45A92" w:rsidP="00E45A9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rPr>
          <w:rFonts w:ascii="Calibri" w:eastAsia="Calibri" w:hAnsi="Calibri" w:cs="Calibri"/>
          <w:bdr w:val="none" w:sz="0" w:space="0" w:color="auto"/>
          <w:lang w:val="cs-CZ"/>
        </w:rPr>
      </w:pPr>
    </w:p>
    <w:p w14:paraId="6DC4E9F8" w14:textId="6BD99F68" w:rsidR="00FB36BF" w:rsidRPr="00A54DFA" w:rsidRDefault="00E75282" w:rsidP="00E7528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color w:val="808080" w:themeColor="background1" w:themeShade="80"/>
          <w:sz w:val="20"/>
          <w:szCs w:val="20"/>
          <w:bdr w:val="none" w:sz="0" w:space="0" w:color="auto"/>
        </w:rPr>
      </w:pPr>
      <w:r>
        <w:rPr>
          <w:rFonts w:ascii="Calibri Light" w:hAnsi="Calibri Light"/>
          <w:i/>
          <w:color w:val="808080" w:themeColor="background1" w:themeShade="80"/>
          <w:sz w:val="20"/>
          <w:szCs w:val="20"/>
          <w:bdr w:val="none" w:sz="0" w:space="0" w:color="auto"/>
        </w:rPr>
        <w:lastRenderedPageBreak/>
        <w:t>Founded in 2009, Contera owns and operates industrial parks in first-class locations in the Czech Republic (Brno, Ostrava, Prague, Teplice) and Slovakia (Bratislava, Prešov). Contera's portfolio provides clients with leasing opportunities and build-to-suit solutions. The company specialises in the reconstruction and revitalisation of unused facilities (brownfield land) in locations with good infrastructure, while placing emphasis on harmony between its parks and the surrounding environment. Contera's portfolio includes approximately 354,000 m</w:t>
      </w:r>
      <w:r>
        <w:rPr>
          <w:rFonts w:ascii="Calibri Light" w:hAnsi="Calibri Light"/>
          <w:i/>
          <w:color w:val="808080" w:themeColor="background1" w:themeShade="80"/>
          <w:sz w:val="20"/>
          <w:szCs w:val="20"/>
          <w:bdr w:val="none" w:sz="0" w:space="0" w:color="auto"/>
          <w:vertAlign w:val="superscript"/>
        </w:rPr>
        <w:t>2</w:t>
      </w:r>
      <w:r>
        <w:rPr>
          <w:rFonts w:ascii="Calibri Light" w:hAnsi="Calibri Light"/>
          <w:i/>
          <w:color w:val="808080" w:themeColor="background1" w:themeShade="80"/>
          <w:sz w:val="20"/>
          <w:szCs w:val="20"/>
          <w:bdr w:val="none" w:sz="0" w:space="0" w:color="auto"/>
        </w:rPr>
        <w:t xml:space="preserve"> of existing properties and 245,200 m</w:t>
      </w:r>
      <w:r>
        <w:rPr>
          <w:rFonts w:ascii="Calibri Light" w:hAnsi="Calibri Light"/>
          <w:i/>
          <w:color w:val="808080" w:themeColor="background1" w:themeShade="80"/>
          <w:sz w:val="20"/>
          <w:szCs w:val="20"/>
          <w:bdr w:val="none" w:sz="0" w:space="0" w:color="auto"/>
          <w:vertAlign w:val="superscript"/>
        </w:rPr>
        <w:t>2</w:t>
      </w:r>
      <w:r>
        <w:rPr>
          <w:rFonts w:ascii="Calibri Light" w:hAnsi="Calibri Light"/>
          <w:i/>
          <w:color w:val="808080" w:themeColor="background1" w:themeShade="80"/>
          <w:sz w:val="20"/>
          <w:szCs w:val="20"/>
          <w:bdr w:val="none" w:sz="0" w:space="0" w:color="auto"/>
        </w:rPr>
        <w:t xml:space="preserve"> of planned industrial properties. In 2019, Contera established a joint venture with TPG Real Estate Partners, a specialised property investment platform owned by the global alternative asset firm TPG. In 2019, Contera entered the Slovak market.</w:t>
      </w:r>
    </w:p>
    <w:sectPr w:rsidR="00FB36BF" w:rsidRPr="00A54DFA">
      <w:headerReference w:type="default" r:id="rId10"/>
      <w:footerReference w:type="default" r:id="rId11"/>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2232C" w14:textId="77777777" w:rsidR="00A24B39" w:rsidRDefault="00A24B39">
      <w:r>
        <w:separator/>
      </w:r>
    </w:p>
  </w:endnote>
  <w:endnote w:type="continuationSeparator" w:id="0">
    <w:p w14:paraId="09F8BE55" w14:textId="77777777" w:rsidR="00A24B39" w:rsidRDefault="00A24B39">
      <w:r>
        <w:continuationSeparator/>
      </w:r>
    </w:p>
  </w:endnote>
  <w:endnote w:type="continuationNotice" w:id="1">
    <w:p w14:paraId="76D5B858" w14:textId="77777777" w:rsidR="00A24B39" w:rsidRDefault="00A24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old">
    <w:altName w:val="Cambria"/>
    <w:charset w:val="00"/>
    <w:family w:val="roman"/>
    <w:pitch w:val="default"/>
  </w:font>
  <w:font w:name="Montserrat Regular">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E9FE" w14:textId="77777777" w:rsidR="00FB36BF" w:rsidRDefault="00CF174B">
    <w:pPr>
      <w:pStyle w:val="TextA"/>
      <w:spacing w:before="0" w:after="120" w:line="240" w:lineRule="auto"/>
      <w:rPr>
        <w:rFonts w:ascii="Montserrat Regular" w:eastAsia="Montserrat Regular" w:hAnsi="Montserrat Regular" w:cs="Montserrat Regular"/>
        <w:color w:val="000000"/>
        <w:sz w:val="14"/>
        <w:szCs w:val="14"/>
        <w:u w:color="000000"/>
      </w:rPr>
    </w:pPr>
    <w:r>
      <w:rPr>
        <w:rFonts w:ascii="Montserrat Bold" w:hAnsi="Montserrat Bold"/>
        <w:color w:val="000000"/>
        <w:sz w:val="14"/>
        <w:szCs w:val="14"/>
        <w:u w:color="000000"/>
      </w:rPr>
      <w:t>CONTERA Management s.r.o.</w:t>
    </w:r>
    <w:r>
      <w:rPr>
        <w:rFonts w:ascii="Montserrat Regular" w:hAnsi="Montserrat Regular"/>
        <w:color w:val="000000"/>
        <w:sz w:val="14"/>
        <w:szCs w:val="14"/>
        <w:u w:color="000000"/>
      </w:rPr>
      <w:t>, Na Strži 1702/65, 140 00 Praha 4, Company ID No.: 28573510</w:t>
    </w:r>
  </w:p>
  <w:p w14:paraId="6DC4E9FF" w14:textId="77777777" w:rsidR="00FB36BF" w:rsidRDefault="00CF174B">
    <w:pPr>
      <w:pStyle w:val="TextA"/>
      <w:spacing w:before="0" w:after="120" w:line="240" w:lineRule="auto"/>
    </w:pPr>
    <w:r>
      <w:rPr>
        <w:rFonts w:ascii="Montserrat Regular" w:hAnsi="Montserrat Regular"/>
        <w:color w:val="000000"/>
        <w:sz w:val="14"/>
        <w:szCs w:val="14"/>
        <w:u w:color="000000"/>
      </w:rPr>
      <w:t>Registered in the Commercial Register maintained by the Municipal Court in Prague, Section C, Entry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7C863" w14:textId="77777777" w:rsidR="00A24B39" w:rsidRDefault="00A24B39">
      <w:r>
        <w:separator/>
      </w:r>
    </w:p>
  </w:footnote>
  <w:footnote w:type="continuationSeparator" w:id="0">
    <w:p w14:paraId="3B0CC606" w14:textId="77777777" w:rsidR="00A24B39" w:rsidRDefault="00A24B39">
      <w:r>
        <w:continuationSeparator/>
      </w:r>
    </w:p>
  </w:footnote>
  <w:footnote w:type="continuationNotice" w:id="1">
    <w:p w14:paraId="7F48E168" w14:textId="77777777" w:rsidR="00A24B39" w:rsidRDefault="00A24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E9FD" w14:textId="77777777" w:rsidR="00FB36BF" w:rsidRDefault="00CF174B">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6DC4EA00" wp14:editId="6DC4EA01">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BF"/>
    <w:rsid w:val="000009BA"/>
    <w:rsid w:val="00002277"/>
    <w:rsid w:val="00025FB2"/>
    <w:rsid w:val="00033434"/>
    <w:rsid w:val="00045BFC"/>
    <w:rsid w:val="000514C8"/>
    <w:rsid w:val="0005459C"/>
    <w:rsid w:val="00057652"/>
    <w:rsid w:val="00062B3C"/>
    <w:rsid w:val="00066F5F"/>
    <w:rsid w:val="000714EE"/>
    <w:rsid w:val="00071620"/>
    <w:rsid w:val="00076773"/>
    <w:rsid w:val="00080A37"/>
    <w:rsid w:val="00083197"/>
    <w:rsid w:val="00083665"/>
    <w:rsid w:val="000A10C8"/>
    <w:rsid w:val="000A7627"/>
    <w:rsid w:val="000A7964"/>
    <w:rsid w:val="000B68C6"/>
    <w:rsid w:val="000B6AA1"/>
    <w:rsid w:val="000B7164"/>
    <w:rsid w:val="000C3742"/>
    <w:rsid w:val="000C3C6A"/>
    <w:rsid w:val="000D0DE0"/>
    <w:rsid w:val="000D42A6"/>
    <w:rsid w:val="000E0F4A"/>
    <w:rsid w:val="000E336C"/>
    <w:rsid w:val="000E7403"/>
    <w:rsid w:val="000E7784"/>
    <w:rsid w:val="000F1199"/>
    <w:rsid w:val="000F4E7F"/>
    <w:rsid w:val="000F57DD"/>
    <w:rsid w:val="00101E01"/>
    <w:rsid w:val="00115D2F"/>
    <w:rsid w:val="00131E11"/>
    <w:rsid w:val="00135B9E"/>
    <w:rsid w:val="001364E2"/>
    <w:rsid w:val="00140D2C"/>
    <w:rsid w:val="001473E2"/>
    <w:rsid w:val="00157006"/>
    <w:rsid w:val="00161A23"/>
    <w:rsid w:val="00193108"/>
    <w:rsid w:val="001944A6"/>
    <w:rsid w:val="0019780B"/>
    <w:rsid w:val="001A4243"/>
    <w:rsid w:val="001A45F4"/>
    <w:rsid w:val="001A4797"/>
    <w:rsid w:val="001B281B"/>
    <w:rsid w:val="001B2875"/>
    <w:rsid w:val="001C3DF3"/>
    <w:rsid w:val="001D2183"/>
    <w:rsid w:val="001D29CB"/>
    <w:rsid w:val="001D4A45"/>
    <w:rsid w:val="001D5127"/>
    <w:rsid w:val="001E20A8"/>
    <w:rsid w:val="001E508A"/>
    <w:rsid w:val="001F1795"/>
    <w:rsid w:val="001F4576"/>
    <w:rsid w:val="001F47CF"/>
    <w:rsid w:val="00210264"/>
    <w:rsid w:val="00210F75"/>
    <w:rsid w:val="00213E69"/>
    <w:rsid w:val="00215A70"/>
    <w:rsid w:val="00217DFA"/>
    <w:rsid w:val="002233A0"/>
    <w:rsid w:val="002310C7"/>
    <w:rsid w:val="00232DB5"/>
    <w:rsid w:val="00234E48"/>
    <w:rsid w:val="002441CA"/>
    <w:rsid w:val="0025118E"/>
    <w:rsid w:val="00254CC2"/>
    <w:rsid w:val="00265B39"/>
    <w:rsid w:val="00276E53"/>
    <w:rsid w:val="002A096B"/>
    <w:rsid w:val="002A1290"/>
    <w:rsid w:val="002B1767"/>
    <w:rsid w:val="002B2617"/>
    <w:rsid w:val="002B508D"/>
    <w:rsid w:val="002B5AF8"/>
    <w:rsid w:val="002C141F"/>
    <w:rsid w:val="002C4E27"/>
    <w:rsid w:val="002C5F21"/>
    <w:rsid w:val="002F0735"/>
    <w:rsid w:val="002F3026"/>
    <w:rsid w:val="0030038A"/>
    <w:rsid w:val="00314697"/>
    <w:rsid w:val="003154FE"/>
    <w:rsid w:val="003306E2"/>
    <w:rsid w:val="0033310F"/>
    <w:rsid w:val="00340DA7"/>
    <w:rsid w:val="00344767"/>
    <w:rsid w:val="00353DEE"/>
    <w:rsid w:val="00361043"/>
    <w:rsid w:val="003660D4"/>
    <w:rsid w:val="003729CB"/>
    <w:rsid w:val="00375C16"/>
    <w:rsid w:val="00390BD4"/>
    <w:rsid w:val="003955AE"/>
    <w:rsid w:val="003A568F"/>
    <w:rsid w:val="003C2590"/>
    <w:rsid w:val="003C6888"/>
    <w:rsid w:val="003C79AE"/>
    <w:rsid w:val="003D3AA5"/>
    <w:rsid w:val="003D6862"/>
    <w:rsid w:val="003E35C0"/>
    <w:rsid w:val="003E4D40"/>
    <w:rsid w:val="003E6313"/>
    <w:rsid w:val="003F65AF"/>
    <w:rsid w:val="004051EE"/>
    <w:rsid w:val="00410650"/>
    <w:rsid w:val="00416230"/>
    <w:rsid w:val="00432B3C"/>
    <w:rsid w:val="004465D2"/>
    <w:rsid w:val="00446E12"/>
    <w:rsid w:val="0046062D"/>
    <w:rsid w:val="00472EF7"/>
    <w:rsid w:val="004A730C"/>
    <w:rsid w:val="004A766F"/>
    <w:rsid w:val="004B4702"/>
    <w:rsid w:val="004C2FE2"/>
    <w:rsid w:val="004D6583"/>
    <w:rsid w:val="004E426D"/>
    <w:rsid w:val="004E45BC"/>
    <w:rsid w:val="004E48C5"/>
    <w:rsid w:val="00503143"/>
    <w:rsid w:val="00506988"/>
    <w:rsid w:val="00512E75"/>
    <w:rsid w:val="0051309A"/>
    <w:rsid w:val="00522319"/>
    <w:rsid w:val="00527BC9"/>
    <w:rsid w:val="005304E2"/>
    <w:rsid w:val="00536421"/>
    <w:rsid w:val="0054117D"/>
    <w:rsid w:val="00547A4A"/>
    <w:rsid w:val="0056786D"/>
    <w:rsid w:val="00574B8F"/>
    <w:rsid w:val="00580094"/>
    <w:rsid w:val="00581947"/>
    <w:rsid w:val="0059087A"/>
    <w:rsid w:val="00592D84"/>
    <w:rsid w:val="00596A51"/>
    <w:rsid w:val="005A2B74"/>
    <w:rsid w:val="005A5296"/>
    <w:rsid w:val="005B05A0"/>
    <w:rsid w:val="005B0612"/>
    <w:rsid w:val="005B0A9E"/>
    <w:rsid w:val="005B1EB8"/>
    <w:rsid w:val="005C197A"/>
    <w:rsid w:val="005D0B2A"/>
    <w:rsid w:val="005D736B"/>
    <w:rsid w:val="005E2CA9"/>
    <w:rsid w:val="005F751D"/>
    <w:rsid w:val="00626C00"/>
    <w:rsid w:val="00634A7A"/>
    <w:rsid w:val="006363CC"/>
    <w:rsid w:val="00654AF9"/>
    <w:rsid w:val="006553D7"/>
    <w:rsid w:val="00661E97"/>
    <w:rsid w:val="006623FC"/>
    <w:rsid w:val="00667879"/>
    <w:rsid w:val="00682F78"/>
    <w:rsid w:val="006902B8"/>
    <w:rsid w:val="0069116D"/>
    <w:rsid w:val="006A6915"/>
    <w:rsid w:val="006A7053"/>
    <w:rsid w:val="006B3081"/>
    <w:rsid w:val="006B6987"/>
    <w:rsid w:val="006B7040"/>
    <w:rsid w:val="006C2DCE"/>
    <w:rsid w:val="006D0EB3"/>
    <w:rsid w:val="006D4CB2"/>
    <w:rsid w:val="006D7496"/>
    <w:rsid w:val="006E3F73"/>
    <w:rsid w:val="006E7159"/>
    <w:rsid w:val="006F4399"/>
    <w:rsid w:val="00701C3B"/>
    <w:rsid w:val="00706A80"/>
    <w:rsid w:val="0071335B"/>
    <w:rsid w:val="00722692"/>
    <w:rsid w:val="00725093"/>
    <w:rsid w:val="00731645"/>
    <w:rsid w:val="00731AA5"/>
    <w:rsid w:val="0073418F"/>
    <w:rsid w:val="00735695"/>
    <w:rsid w:val="00736EE4"/>
    <w:rsid w:val="00737F89"/>
    <w:rsid w:val="0074770D"/>
    <w:rsid w:val="00756D6F"/>
    <w:rsid w:val="00757746"/>
    <w:rsid w:val="007718F5"/>
    <w:rsid w:val="00775C69"/>
    <w:rsid w:val="007816DA"/>
    <w:rsid w:val="00783B16"/>
    <w:rsid w:val="00783FDF"/>
    <w:rsid w:val="00784DBC"/>
    <w:rsid w:val="007900D3"/>
    <w:rsid w:val="007929B5"/>
    <w:rsid w:val="00795763"/>
    <w:rsid w:val="007A2D64"/>
    <w:rsid w:val="007D301E"/>
    <w:rsid w:val="007F0CBA"/>
    <w:rsid w:val="007F51E5"/>
    <w:rsid w:val="007F5F76"/>
    <w:rsid w:val="007F7A28"/>
    <w:rsid w:val="00803576"/>
    <w:rsid w:val="00815E4A"/>
    <w:rsid w:val="00816815"/>
    <w:rsid w:val="00816979"/>
    <w:rsid w:val="00822915"/>
    <w:rsid w:val="00822C2D"/>
    <w:rsid w:val="00832968"/>
    <w:rsid w:val="00832B85"/>
    <w:rsid w:val="00834124"/>
    <w:rsid w:val="00835277"/>
    <w:rsid w:val="008367C6"/>
    <w:rsid w:val="0085694E"/>
    <w:rsid w:val="00860D47"/>
    <w:rsid w:val="0086105D"/>
    <w:rsid w:val="0086360F"/>
    <w:rsid w:val="008652F3"/>
    <w:rsid w:val="008707F9"/>
    <w:rsid w:val="008948D9"/>
    <w:rsid w:val="008A0B29"/>
    <w:rsid w:val="008B1886"/>
    <w:rsid w:val="008C781A"/>
    <w:rsid w:val="008D0A57"/>
    <w:rsid w:val="008E2E0D"/>
    <w:rsid w:val="008F4FD3"/>
    <w:rsid w:val="00900303"/>
    <w:rsid w:val="009102D9"/>
    <w:rsid w:val="00930859"/>
    <w:rsid w:val="00931E4C"/>
    <w:rsid w:val="00936D7A"/>
    <w:rsid w:val="0093791A"/>
    <w:rsid w:val="0094355B"/>
    <w:rsid w:val="009470B6"/>
    <w:rsid w:val="009516E9"/>
    <w:rsid w:val="009535D8"/>
    <w:rsid w:val="00954D2E"/>
    <w:rsid w:val="00964F33"/>
    <w:rsid w:val="00965D6B"/>
    <w:rsid w:val="00967068"/>
    <w:rsid w:val="00972E8B"/>
    <w:rsid w:val="00974880"/>
    <w:rsid w:val="00974D75"/>
    <w:rsid w:val="00980EC5"/>
    <w:rsid w:val="00985216"/>
    <w:rsid w:val="009872CC"/>
    <w:rsid w:val="0098799E"/>
    <w:rsid w:val="009924CD"/>
    <w:rsid w:val="00993040"/>
    <w:rsid w:val="009A5DBC"/>
    <w:rsid w:val="009A6739"/>
    <w:rsid w:val="009B60B5"/>
    <w:rsid w:val="009C589F"/>
    <w:rsid w:val="009E3F7F"/>
    <w:rsid w:val="009E4E92"/>
    <w:rsid w:val="009E65C8"/>
    <w:rsid w:val="00A11C63"/>
    <w:rsid w:val="00A20351"/>
    <w:rsid w:val="00A21ADF"/>
    <w:rsid w:val="00A24B39"/>
    <w:rsid w:val="00A267C8"/>
    <w:rsid w:val="00A32F12"/>
    <w:rsid w:val="00A5003F"/>
    <w:rsid w:val="00A5321E"/>
    <w:rsid w:val="00A54DFA"/>
    <w:rsid w:val="00A552C9"/>
    <w:rsid w:val="00A60511"/>
    <w:rsid w:val="00A642EB"/>
    <w:rsid w:val="00A85A65"/>
    <w:rsid w:val="00AA39A4"/>
    <w:rsid w:val="00AB4331"/>
    <w:rsid w:val="00AD4840"/>
    <w:rsid w:val="00AE5E42"/>
    <w:rsid w:val="00AF2633"/>
    <w:rsid w:val="00AF2841"/>
    <w:rsid w:val="00AF2FD3"/>
    <w:rsid w:val="00B00755"/>
    <w:rsid w:val="00B01B89"/>
    <w:rsid w:val="00B04560"/>
    <w:rsid w:val="00B106A4"/>
    <w:rsid w:val="00B117AB"/>
    <w:rsid w:val="00B11A50"/>
    <w:rsid w:val="00B11F9E"/>
    <w:rsid w:val="00B131A1"/>
    <w:rsid w:val="00B3249F"/>
    <w:rsid w:val="00B329AF"/>
    <w:rsid w:val="00B54B97"/>
    <w:rsid w:val="00B733C2"/>
    <w:rsid w:val="00B85829"/>
    <w:rsid w:val="00B86791"/>
    <w:rsid w:val="00B92713"/>
    <w:rsid w:val="00B958C3"/>
    <w:rsid w:val="00B96AC0"/>
    <w:rsid w:val="00BA4AED"/>
    <w:rsid w:val="00BA67AC"/>
    <w:rsid w:val="00BC009B"/>
    <w:rsid w:val="00BC0F54"/>
    <w:rsid w:val="00BC1998"/>
    <w:rsid w:val="00BC3985"/>
    <w:rsid w:val="00BC5557"/>
    <w:rsid w:val="00BD1F8F"/>
    <w:rsid w:val="00BD553A"/>
    <w:rsid w:val="00BE1FED"/>
    <w:rsid w:val="00BF6C5B"/>
    <w:rsid w:val="00C004DD"/>
    <w:rsid w:val="00C073F9"/>
    <w:rsid w:val="00C07F09"/>
    <w:rsid w:val="00C22F80"/>
    <w:rsid w:val="00C2501C"/>
    <w:rsid w:val="00C356BC"/>
    <w:rsid w:val="00C43288"/>
    <w:rsid w:val="00C45E2D"/>
    <w:rsid w:val="00C47642"/>
    <w:rsid w:val="00C52818"/>
    <w:rsid w:val="00C55AB8"/>
    <w:rsid w:val="00C70350"/>
    <w:rsid w:val="00C86C61"/>
    <w:rsid w:val="00C8725B"/>
    <w:rsid w:val="00C9413F"/>
    <w:rsid w:val="00C94AA6"/>
    <w:rsid w:val="00CA04E4"/>
    <w:rsid w:val="00CA0B48"/>
    <w:rsid w:val="00CA32BA"/>
    <w:rsid w:val="00CA4609"/>
    <w:rsid w:val="00CB00DA"/>
    <w:rsid w:val="00CB1A51"/>
    <w:rsid w:val="00CB280D"/>
    <w:rsid w:val="00CB4A33"/>
    <w:rsid w:val="00CB4B9D"/>
    <w:rsid w:val="00CB5825"/>
    <w:rsid w:val="00CB5E87"/>
    <w:rsid w:val="00CD4B5E"/>
    <w:rsid w:val="00CE32CD"/>
    <w:rsid w:val="00CE791D"/>
    <w:rsid w:val="00CF174B"/>
    <w:rsid w:val="00CF6DCE"/>
    <w:rsid w:val="00D11521"/>
    <w:rsid w:val="00D1392C"/>
    <w:rsid w:val="00D21E3A"/>
    <w:rsid w:val="00D31863"/>
    <w:rsid w:val="00D31FC5"/>
    <w:rsid w:val="00D34B7B"/>
    <w:rsid w:val="00D5781F"/>
    <w:rsid w:val="00D631D2"/>
    <w:rsid w:val="00D665E1"/>
    <w:rsid w:val="00D70952"/>
    <w:rsid w:val="00D72663"/>
    <w:rsid w:val="00D75946"/>
    <w:rsid w:val="00D967AF"/>
    <w:rsid w:val="00D96EEE"/>
    <w:rsid w:val="00DA7322"/>
    <w:rsid w:val="00DD15EA"/>
    <w:rsid w:val="00DD3917"/>
    <w:rsid w:val="00E10204"/>
    <w:rsid w:val="00E21FB5"/>
    <w:rsid w:val="00E26272"/>
    <w:rsid w:val="00E36C84"/>
    <w:rsid w:val="00E45A92"/>
    <w:rsid w:val="00E46E80"/>
    <w:rsid w:val="00E508AD"/>
    <w:rsid w:val="00E55E43"/>
    <w:rsid w:val="00E55EB0"/>
    <w:rsid w:val="00E60745"/>
    <w:rsid w:val="00E6338B"/>
    <w:rsid w:val="00E670E4"/>
    <w:rsid w:val="00E74230"/>
    <w:rsid w:val="00E75282"/>
    <w:rsid w:val="00E77BBC"/>
    <w:rsid w:val="00E8407F"/>
    <w:rsid w:val="00E8473A"/>
    <w:rsid w:val="00E85677"/>
    <w:rsid w:val="00E87FDB"/>
    <w:rsid w:val="00E93B69"/>
    <w:rsid w:val="00E97B53"/>
    <w:rsid w:val="00EA16F6"/>
    <w:rsid w:val="00EA23B7"/>
    <w:rsid w:val="00EB4218"/>
    <w:rsid w:val="00EB5016"/>
    <w:rsid w:val="00EB5A74"/>
    <w:rsid w:val="00EC5510"/>
    <w:rsid w:val="00EC795B"/>
    <w:rsid w:val="00ED67A1"/>
    <w:rsid w:val="00EE0ECC"/>
    <w:rsid w:val="00EF0F68"/>
    <w:rsid w:val="00EF1C91"/>
    <w:rsid w:val="00F03676"/>
    <w:rsid w:val="00F07D34"/>
    <w:rsid w:val="00F13DCD"/>
    <w:rsid w:val="00F17934"/>
    <w:rsid w:val="00F50FCB"/>
    <w:rsid w:val="00F5189B"/>
    <w:rsid w:val="00F56258"/>
    <w:rsid w:val="00F626B6"/>
    <w:rsid w:val="00F82022"/>
    <w:rsid w:val="00F854B1"/>
    <w:rsid w:val="00F957A2"/>
    <w:rsid w:val="00FB36BF"/>
    <w:rsid w:val="00FB5EBE"/>
    <w:rsid w:val="00FC5125"/>
    <w:rsid w:val="00FC7268"/>
    <w:rsid w:val="00FD59EE"/>
    <w:rsid w:val="00FE1DDB"/>
    <w:rsid w:val="00FE3F7A"/>
    <w:rsid w:val="00FF1FB9"/>
    <w:rsid w:val="00FF630F"/>
    <w:rsid w:val="00FF65B9"/>
    <w:rsid w:val="00FF6FE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E9F8"/>
  <w15:docId w15:val="{333BDBEA-38C8-4387-8995-39B6ECC7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Textbubliny">
    <w:name w:val="Balloon Text"/>
    <w:basedOn w:val="Normln"/>
    <w:link w:val="TextbublinyChar"/>
    <w:uiPriority w:val="99"/>
    <w:semiHidden/>
    <w:unhideWhenUsed/>
    <w:rsid w:val="004D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583"/>
    <w:rPr>
      <w:rFonts w:ascii="Segoe UI" w:hAnsi="Segoe UI" w:cs="Segoe UI"/>
      <w:sz w:val="18"/>
      <w:szCs w:val="18"/>
      <w:lang w:val="en-GB" w:eastAsia="en-US"/>
    </w:rPr>
  </w:style>
  <w:style w:type="paragraph" w:styleId="Zhlav">
    <w:name w:val="header"/>
    <w:basedOn w:val="Normln"/>
    <w:link w:val="ZhlavChar"/>
    <w:uiPriority w:val="99"/>
    <w:unhideWhenUsed/>
    <w:rsid w:val="00536421"/>
    <w:pPr>
      <w:tabs>
        <w:tab w:val="center" w:pos="4536"/>
        <w:tab w:val="right" w:pos="9072"/>
      </w:tabs>
    </w:pPr>
  </w:style>
  <w:style w:type="character" w:customStyle="1" w:styleId="ZhlavChar">
    <w:name w:val="Záhlaví Char"/>
    <w:basedOn w:val="Standardnpsmoodstavce"/>
    <w:link w:val="Zhlav"/>
    <w:uiPriority w:val="99"/>
    <w:rsid w:val="00536421"/>
    <w:rPr>
      <w:sz w:val="24"/>
      <w:szCs w:val="24"/>
      <w:lang w:val="en-GB" w:eastAsia="en-US"/>
    </w:rPr>
  </w:style>
  <w:style w:type="paragraph" w:styleId="Zpat">
    <w:name w:val="footer"/>
    <w:basedOn w:val="Normln"/>
    <w:link w:val="ZpatChar"/>
    <w:uiPriority w:val="99"/>
    <w:unhideWhenUsed/>
    <w:rsid w:val="00536421"/>
    <w:pPr>
      <w:tabs>
        <w:tab w:val="center" w:pos="4536"/>
        <w:tab w:val="right" w:pos="9072"/>
      </w:tabs>
    </w:pPr>
  </w:style>
  <w:style w:type="character" w:customStyle="1" w:styleId="ZpatChar">
    <w:name w:val="Zápatí Char"/>
    <w:basedOn w:val="Standardnpsmoodstavce"/>
    <w:link w:val="Zpat"/>
    <w:uiPriority w:val="99"/>
    <w:rsid w:val="00536421"/>
    <w:rPr>
      <w:sz w:val="24"/>
      <w:szCs w:val="24"/>
      <w:lang w:val="en-GB" w:eastAsia="en-US"/>
    </w:rPr>
  </w:style>
  <w:style w:type="character" w:styleId="Odkaznakoment">
    <w:name w:val="annotation reference"/>
    <w:basedOn w:val="Standardnpsmoodstavce"/>
    <w:uiPriority w:val="99"/>
    <w:semiHidden/>
    <w:unhideWhenUsed/>
    <w:rsid w:val="007F7A28"/>
    <w:rPr>
      <w:sz w:val="16"/>
      <w:szCs w:val="16"/>
    </w:rPr>
  </w:style>
  <w:style w:type="paragraph" w:styleId="Textkomente">
    <w:name w:val="annotation text"/>
    <w:basedOn w:val="Normln"/>
    <w:link w:val="TextkomenteChar"/>
    <w:uiPriority w:val="99"/>
    <w:semiHidden/>
    <w:unhideWhenUsed/>
    <w:rsid w:val="007F7A28"/>
    <w:rPr>
      <w:sz w:val="20"/>
      <w:szCs w:val="20"/>
    </w:rPr>
  </w:style>
  <w:style w:type="character" w:customStyle="1" w:styleId="TextkomenteChar">
    <w:name w:val="Text komentáře Char"/>
    <w:basedOn w:val="Standardnpsmoodstavce"/>
    <w:link w:val="Textkomente"/>
    <w:uiPriority w:val="99"/>
    <w:semiHidden/>
    <w:rsid w:val="007F7A28"/>
    <w:rPr>
      <w:lang w:val="en-GB" w:eastAsia="en-US"/>
    </w:rPr>
  </w:style>
  <w:style w:type="paragraph" w:styleId="Pedmtkomente">
    <w:name w:val="annotation subject"/>
    <w:basedOn w:val="Textkomente"/>
    <w:next w:val="Textkomente"/>
    <w:link w:val="PedmtkomenteChar"/>
    <w:uiPriority w:val="99"/>
    <w:semiHidden/>
    <w:unhideWhenUsed/>
    <w:rsid w:val="007F7A28"/>
    <w:rPr>
      <w:b/>
      <w:bCs/>
    </w:rPr>
  </w:style>
  <w:style w:type="character" w:customStyle="1" w:styleId="PedmtkomenteChar">
    <w:name w:val="Předmět komentáře Char"/>
    <w:basedOn w:val="TextkomenteChar"/>
    <w:link w:val="Pedmtkomente"/>
    <w:uiPriority w:val="99"/>
    <w:semiHidden/>
    <w:rsid w:val="007F7A28"/>
    <w:rPr>
      <w:b/>
      <w:bCs/>
      <w:lang w:val="en-GB" w:eastAsia="en-US"/>
    </w:rPr>
  </w:style>
  <w:style w:type="character" w:styleId="Nevyeenzmnka">
    <w:name w:val="Unresolved Mention"/>
    <w:basedOn w:val="Standardnpsmoodstavce"/>
    <w:uiPriority w:val="99"/>
    <w:semiHidden/>
    <w:unhideWhenUsed/>
    <w:rsid w:val="00E45A92"/>
    <w:rPr>
      <w:color w:val="605E5C"/>
      <w:shd w:val="clear" w:color="auto" w:fill="E1DFDD"/>
    </w:rPr>
  </w:style>
  <w:style w:type="character" w:customStyle="1" w:styleId="A8">
    <w:name w:val="A8"/>
    <w:uiPriority w:val="99"/>
    <w:rsid w:val="001A45F4"/>
    <w:rPr>
      <w:rFonts w:cs="Montserrat"/>
      <w:b/>
      <w:bC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9F11098637974085BED6406798B7BA" ma:contentTypeVersion="10" ma:contentTypeDescription="Create a new document." ma:contentTypeScope="" ma:versionID="56e4eb48d3e0c1a4acaa39d538c90556">
  <xsd:schema xmlns:xsd="http://www.w3.org/2001/XMLSchema" xmlns:xs="http://www.w3.org/2001/XMLSchema" xmlns:p="http://schemas.microsoft.com/office/2006/metadata/properties" xmlns:ns2="bdcb00fb-a50a-4d8d-8bdb-e4d3d8645fd0" xmlns:ns3="67127170-065a-4910-bf80-0f16f7033ca5" targetNamespace="http://schemas.microsoft.com/office/2006/metadata/properties" ma:root="true" ma:fieldsID="5b2934bba20f5c8090cbc253b7ca40f1" ns2:_="" ns3:_="">
    <xsd:import namespace="bdcb00fb-a50a-4d8d-8bdb-e4d3d8645fd0"/>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AE632-8FCF-49BA-B856-84975C934851}">
  <ds:schemaRefs>
    <ds:schemaRef ds:uri="http://schemas.microsoft.com/sharepoint/v3/contenttype/forms"/>
  </ds:schemaRefs>
</ds:datastoreItem>
</file>

<file path=customXml/itemProps2.xml><?xml version="1.0" encoding="utf-8"?>
<ds:datastoreItem xmlns:ds="http://schemas.openxmlformats.org/officeDocument/2006/customXml" ds:itemID="{6E860B83-B080-47A1-99F9-8197970D52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E535B6-EA66-418B-B52A-D65478BF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2489</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Straškrabová</dc:creator>
  <cp:lastModifiedBy>Erika Straškrabová</cp:lastModifiedBy>
  <cp:revision>6</cp:revision>
  <dcterms:created xsi:type="dcterms:W3CDTF">2020-03-30T09:42:00Z</dcterms:created>
  <dcterms:modified xsi:type="dcterms:W3CDTF">2020-04-07T09:13:00Z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